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d3cd57ed1401f" /></Relationships>
</file>

<file path=word/document.xml><?xml version="1.0" encoding="utf-8"?>
<w:document xmlns:w="http://schemas.openxmlformats.org/wordprocessingml/2006/main">
  <w:body>
    <w:p>
      <w:r>
        <w:t>H-3306.2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2407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Maycumber, Fey, Orcutt, Kraft, Walsh, Kilduff, Peterson, Reeves, Chapman, Kloba, Dye, Taylor, Kretz, DeBolt, Eslick, Fitzgibbon, Haler, Holy, Stambaugh, Schmick, and Ormsby</w:t>
      </w:r>
    </w:p>
    <w:p/>
    <w:p>
      <w:r>
        <w:rPr>
          <w:t xml:space="preserve">Prefiled 01/05/18.</w:t>
        </w:rPr>
      </w:r>
      <w:r>
        <w:rPr>
          <w:t xml:space="preserve">Read first time 01/08/18.  </w:t>
        </w:rPr>
      </w:r>
      <w:r>
        <w:rPr>
          <w:t xml:space="preserve">Referred to Committee on Capital Budget.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reporting regarding the use of out-of-state materials for public works projects; and amending RCW 39.04.050.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39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050</w:t>
      </w:r>
      <w:r>
        <w:rPr/>
        <w:t xml:space="preserve"> and 1986 c 282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Original estimates shall show in detail the estimated cost of the work; the estimated quantities of each class of work; the estimated unit cost for each class; the estimated total cost for each class; the time limit, allowed for the completion of the work and the estimated dates of commencement and completion.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(2)(a) A public owner or public agency that administers funds for public projects must collect the following data per project: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If steel or concrete purchased from out of state is used, where the steel or concrete, or both, was sourced;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A detailed reason why steel or concrete, or both, was purchased from out of state;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The cost of the steel or concrete, or both.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The public owner must report the information in (a) of this subsection to the fiscal committees of the legislature by November 30th of each even-numbered year.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For purposes of this subsection (2), "public project" means a project using public funds from the state capital budget or state transportation budget that is: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Over five thousand square feet;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Financed through a financing contract, as defined in RCW 39.94.020;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A road or bridge project over one million dollars.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8f2f68591d7491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2407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317d48a3a415a" /><Relationship Type="http://schemas.openxmlformats.org/officeDocument/2006/relationships/footer" Target="/word/footer.xml" Id="Rc8f2f68591d74915" /></Relationships>
</file>