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10ef33cde94f4c" /></Relationships>
</file>

<file path=word/document.xml><?xml version="1.0" encoding="utf-8"?>
<w:document xmlns:w="http://schemas.openxmlformats.org/wordprocessingml/2006/main">
  <w:body>
    <w:p>
      <w:r>
        <w:t>H-3196.2</w:t>
      </w:r>
    </w:p>
    <w:p>
      <w:pPr>
        <w:jc w:val="center"/>
      </w:pPr>
      <w:r>
        <w:t>_______________________________________________</w:t>
      </w:r>
    </w:p>
    <w:p/>
    <w:p>
      <w:pPr>
        <w:jc w:val="center"/>
      </w:pPr>
      <w:r>
        <w:rPr>
          <w:b/>
        </w:rPr>
        <w:t>HOUSE BILL 2392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Taylor, Shea, MacEwen, Kraft, Manweller, Haler, Condotta, Buys, Young, and Stokesbary</w:t>
      </w:r>
    </w:p>
    <w:p/>
    <w:p>
      <w:r>
        <w:rPr>
          <w:t xml:space="preserve">Prefiled 01/05/18.</w:t>
        </w:rPr>
      </w:r>
      <w:r>
        <w:rPr>
          <w:t xml:space="preserve">Read first time 01/08/18.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relationship between the four-year balanced budget and vetoes of fiscal legislation; and amending RCW 43.88.055 and 43.88.110.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 </w:t>
      </w:r>
      <w:r>
        <w:rPr>
          <w:u w:val="single"/>
        </w:rPr>
        <w:t xml:space="preserve">Beginning with budgets enacted for the 2019-2021 fiscal biennium, if a veto of appropriations or revenue legislation results in a projected maintenance level that exceeds available fiscal resources in the ensuing biennium, then the governor must make prioritized allotment reductions under RCW 43.88.110(8).</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110</w:t>
      </w:r>
      <w:r>
        <w:rPr/>
        <w:t xml:space="preserve"> and 2014 c 162 s 4 are each amended to read as follows:</w:t>
      </w:r>
    </w:p>
    <w:p>
      <w:pPr>
        <w:spacing w:before="0" w:after="0" w:line="408" w:lineRule="exact"/>
        <w:ind w:left="0" w:right="0" w:firstLine="576"/>
        <w:jc w:val="left"/>
      </w:pPr>
      <w:r>
        <w:rPr/>
        <w:t xml:space="preserve">This section sets forth the expenditure programs and the allotment and reserve procedures to be followed by the executive branch for public funds.</w:t>
      </w:r>
    </w:p>
    <w:p>
      <w:pPr>
        <w:spacing w:before="0" w:after="0" w:line="408" w:lineRule="exact"/>
        <w:ind w:left="0" w:right="0" w:firstLine="576"/>
        <w:jc w:val="left"/>
      </w:pPr>
      <w:r>
        <w:rPr/>
        <w:t xml:space="preserve">(1) Allotments of an appropriation for any fiscal period shall conform to the terms, limits, or conditions of the appropriation.</w:t>
      </w:r>
    </w:p>
    <w:p>
      <w:pPr>
        <w:spacing w:before="0" w:after="0" w:line="408" w:lineRule="exact"/>
        <w:ind w:left="0" w:right="0" w:firstLine="576"/>
        <w:jc w:val="left"/>
      </w:pPr>
      <w:r>
        <w:rPr/>
        <w:t xml:space="preserve">(2) The director of financial management shall provide all agencies with a complete set of operating and capital instructions for preparing a statement of proposed expenditures at least thirty days before the beginning of a fiscal period. The set of instructions need not include specific appropriation amounts for the agency.</w:t>
      </w:r>
    </w:p>
    <w:p>
      <w:pPr>
        <w:spacing w:before="0" w:after="0" w:line="408" w:lineRule="exact"/>
        <w:ind w:left="0" w:right="0" w:firstLine="576"/>
        <w:jc w:val="left"/>
      </w:pPr>
      <w:r>
        <w:rPr/>
        <w:t xml:space="preserve">(3) Within forty-five days after the beginning of the fiscal period or within forty-five days after the governor signs the omnibus biennial appropriations act, whichever is later, all agencies shall submit to the governor a statement of proposed expenditures at such times and in such form as may be required by the governor.</w:t>
      </w:r>
    </w:p>
    <w:p>
      <w:pPr>
        <w:spacing w:before="0" w:after="0" w:line="408" w:lineRule="exact"/>
        <w:ind w:left="0" w:right="0" w:firstLine="576"/>
        <w:jc w:val="left"/>
      </w:pPr>
      <w:r>
        <w:rPr/>
        <w:t xml:space="preserve">(4) The office of financial management shall develop a method for monitoring capital appropriations and expenditures that will capture at least the following elements:</w:t>
      </w:r>
    </w:p>
    <w:p>
      <w:pPr>
        <w:spacing w:before="0" w:after="0" w:line="408" w:lineRule="exact"/>
        <w:ind w:left="0" w:right="0" w:firstLine="576"/>
        <w:jc w:val="left"/>
      </w:pPr>
      <w:r>
        <w:rPr/>
        <w:t xml:space="preserve">(a) Appropriations made for capital projects including transportation projects;</w:t>
      </w:r>
    </w:p>
    <w:p>
      <w:pPr>
        <w:spacing w:before="0" w:after="0" w:line="408" w:lineRule="exact"/>
        <w:ind w:left="0" w:right="0" w:firstLine="576"/>
        <w:jc w:val="left"/>
      </w:pPr>
      <w:r>
        <w:rPr/>
        <w:t xml:space="preserve">(b) Estimates of total project costs including past, current, ensuing, and future biennial costs;</w:t>
      </w:r>
    </w:p>
    <w:p>
      <w:pPr>
        <w:spacing w:before="0" w:after="0" w:line="408" w:lineRule="exact"/>
        <w:ind w:left="0" w:right="0" w:firstLine="576"/>
        <w:jc w:val="left"/>
      </w:pPr>
      <w:r>
        <w:rPr/>
        <w:t xml:space="preserve">(c) Comparisons of actual costs to estimated costs;</w:t>
      </w:r>
    </w:p>
    <w:p>
      <w:pPr>
        <w:spacing w:before="0" w:after="0" w:line="408" w:lineRule="exact"/>
        <w:ind w:left="0" w:right="0" w:firstLine="576"/>
        <w:jc w:val="left"/>
      </w:pPr>
      <w:r>
        <w:rPr/>
        <w:t xml:space="preserve">(d) Comparisons of estimated construction start and completion dates with actual dates;</w:t>
      </w:r>
    </w:p>
    <w:p>
      <w:pPr>
        <w:spacing w:before="0" w:after="0" w:line="408" w:lineRule="exact"/>
        <w:ind w:left="0" w:right="0" w:firstLine="576"/>
        <w:jc w:val="left"/>
      </w:pPr>
      <w:r>
        <w:rPr/>
        <w:t xml:space="preserve">(e) Documentation of fund shifts between projects.</w:t>
      </w:r>
    </w:p>
    <w:p>
      <w:pPr>
        <w:spacing w:before="0" w:after="0" w:line="408" w:lineRule="exact"/>
        <w:ind w:left="0" w:right="0" w:firstLine="576"/>
        <w:jc w:val="left"/>
      </w:pPr>
      <w:r>
        <w:rPr/>
        <w:t xml:space="preserve">This data may be incorporated into the existing accounting system or into a separate project management system, as deemed appropriate by the office of financial management.</w:t>
      </w:r>
    </w:p>
    <w:p>
      <w:pPr>
        <w:spacing w:before="0" w:after="0" w:line="408" w:lineRule="exact"/>
        <w:ind w:left="0" w:right="0" w:firstLine="576"/>
        <w:jc w:val="left"/>
      </w:pPr>
      <w:r>
        <w:rPr/>
        <w:t xml:space="preserve">(5) The office of financial management, prior to approving allotments for major capital construction projects valued over five million dollars, with the exception of projects at institutions of higher education as defined in RCW 28B.10.016, which may be valued up to ten million dollars, shall institute procedures for reviewing such projects at the predesign stage that will reduce long-term costs and increase facility efficiency. The procedures shall include, but not be limited to, the following elements:</w:t>
      </w:r>
    </w:p>
    <w:p>
      <w:pPr>
        <w:spacing w:before="0" w:after="0" w:line="408" w:lineRule="exact"/>
        <w:ind w:left="0" w:right="0" w:firstLine="576"/>
        <w:jc w:val="left"/>
      </w:pPr>
      <w:r>
        <w:rPr/>
        <w:t xml:space="preserve">(a) Evaluation of facility program requirements and consistency with long-range plans;</w:t>
      </w:r>
    </w:p>
    <w:p>
      <w:pPr>
        <w:spacing w:before="0" w:after="0" w:line="408" w:lineRule="exact"/>
        <w:ind w:left="0" w:right="0" w:firstLine="576"/>
        <w:jc w:val="left"/>
      </w:pPr>
      <w:r>
        <w:rPr/>
        <w:t xml:space="preserve">(b) Utilization of a system of cost, quality, and performance standards to compare major capital construction projects; and</w:t>
      </w:r>
    </w:p>
    <w:p>
      <w:pPr>
        <w:spacing w:before="0" w:after="0" w:line="408" w:lineRule="exact"/>
        <w:ind w:left="0" w:right="0" w:firstLine="576"/>
        <w:jc w:val="left"/>
      </w:pPr>
      <w:r>
        <w:rPr/>
        <w:t xml:space="preserve">(c) A requirement to incorporate value-engineering analysis and constructability review into the project schedule.</w:t>
      </w:r>
    </w:p>
    <w:p>
      <w:pPr>
        <w:spacing w:before="0" w:after="0" w:line="408" w:lineRule="exact"/>
        <w:ind w:left="0" w:right="0" w:firstLine="576"/>
        <w:jc w:val="left"/>
      </w:pPr>
      <w:r>
        <w:rPr/>
        <w:t xml:space="preserve">(6) No expenditure may be incurred or obligation entered into for such major capital construction projects including, without exception, land acquisition, site development, predesign, design, construction, and equipment acquisition and installation, until the allotment of the funds to be expended has been approved by the office of financial management. This limitation does not prohibit the continuation of expenditures and obligations into the succeeding biennium for projects for which allotments have been approved in the immediate prior biennium.</w:t>
      </w:r>
    </w:p>
    <w:p>
      <w:pPr>
        <w:spacing w:before="0" w:after="0" w:line="408" w:lineRule="exact"/>
        <w:ind w:left="0" w:right="0" w:firstLine="576"/>
        <w:jc w:val="left"/>
      </w:pPr>
      <w:r>
        <w:rPr/>
        <w:t xml:space="preserve">(7) If at any time during the fiscal period the governor projects a cash deficit in a particular fund or account as defined by RCW 43.88.050, the governor shall make across-the-board reductions in allotments for that particular fund or account so as to prevent a cash deficit, unless the legislature has directed the liquidation of the cash deficit over one or more fiscal periods. Except for the legislative and judicial branches and other agencies headed by elective officials, the governor shall review the statement of proposed operating expenditures for reasonableness and conformance with legislative intent. The governor may request corrections of proposed allotments submitted by the legislative and judicial branches and agencies headed by elective officials if those proposed allotments contain significant technical errors. Once the governor approves the proposed allotments, further revisions may at the request of the office of financial management or upon the agency's initiative be made on a quarterly basis and must be accompanied by an explanation of the reasons for significant changes. However, changes in appropriation level authorized by the legislature, changes required by across-the-board reductions mandated by the governor, changes caused by executive increases to spending authority, and changes caused by executive decreases to spending authority for failure to comply with the provisions of chapter 36.70A RCW may require additional revisions. Revisions shall not be made retroactively. However, the governor may assign to a reserve status any portion of an agency appropriation withheld as part of across-the-board reductions made by the governor and any portion of an agency appropriation conditioned on a contingent event by the appropriations act. The governor may remove these amounts from reserve status if the across-the-board reductions are subsequently modified or if the contingent event occurs. The director of financial management shall enter approved statements of proposed expenditures into the state budgeting, accounting, and reporting system within forty-five days after receipt of the proposed statements from the agencies. If an agency or the director of financial management is unable to meet these requirements, the director of financial management shall provide a timely explanation in writing to the legislative fiscal committees.</w:t>
      </w:r>
    </w:p>
    <w:p>
      <w:pPr>
        <w:spacing w:before="0" w:after="0" w:line="408" w:lineRule="exact"/>
        <w:ind w:left="0" w:right="0" w:firstLine="576"/>
        <w:jc w:val="left"/>
      </w:pPr>
      <w:r>
        <w:rPr/>
        <w:t xml:space="preserve">(8)</w:t>
      </w:r>
      <w:r>
        <w:rPr>
          <w:u w:val="single"/>
        </w:rPr>
        <w:t xml:space="preserve">(a) Beginning with budgets enacted for the 2019-2021 fiscal biennium, if the legislature enacts an operating budget that complies with the ensuing biennium balance requirement in RCW 43.88.055, but vetoes of appropriations or revenue legislation result in projected maintenance level expenditures for the ensuing biennium that exceed projected available fiscal resources for the ensuing biennium, then the governor must make allotment reductions in accordance with the priorities established in this subsection (8). The allotment reductions in the current biennium must be sufficient to eliminate the shortfall by reducing projected maintenance level expenditures in the ensuing biennium.</w:t>
      </w:r>
    </w:p>
    <w:p>
      <w:pPr>
        <w:spacing w:before="0" w:after="0" w:line="408" w:lineRule="exact"/>
        <w:ind w:left="0" w:right="0" w:firstLine="576"/>
        <w:jc w:val="left"/>
      </w:pPr>
      <w:r>
        <w:rPr>
          <w:u w:val="single"/>
        </w:rPr>
        <w:t xml:space="preserve">(b) The governor must make allotment reductions in appropriations in the following priority:</w:t>
      </w:r>
    </w:p>
    <w:p>
      <w:pPr>
        <w:spacing w:before="0" w:after="0" w:line="408" w:lineRule="exact"/>
        <w:ind w:left="0" w:right="0" w:firstLine="576"/>
        <w:jc w:val="left"/>
      </w:pPr>
      <w:r>
        <w:rPr>
          <w:u w:val="single"/>
        </w:rPr>
        <w:t xml:space="preserve">(i) The legislature, the judiciary, and statewide elected officials in the executive branch;</w:t>
      </w:r>
    </w:p>
    <w:p>
      <w:pPr>
        <w:spacing w:before="0" w:after="0" w:line="408" w:lineRule="exact"/>
        <w:ind w:left="0" w:right="0" w:firstLine="576"/>
        <w:jc w:val="left"/>
      </w:pPr>
      <w:r>
        <w:rPr>
          <w:u w:val="single"/>
        </w:rPr>
        <w:t xml:space="preserve">(ii) For all other state purposes not specifically listed in this subsection, excluding the state program of basic education and payments of principal and interest on state debt;</w:t>
      </w:r>
    </w:p>
    <w:p>
      <w:pPr>
        <w:spacing w:before="0" w:after="0" w:line="408" w:lineRule="exact"/>
        <w:ind w:left="0" w:right="0" w:firstLine="576"/>
        <w:jc w:val="left"/>
      </w:pPr>
      <w:r>
        <w:rPr>
          <w:u w:val="single"/>
        </w:rPr>
        <w:t xml:space="preserve">(iii) For public assistance programs;</w:t>
      </w:r>
    </w:p>
    <w:p>
      <w:pPr>
        <w:spacing w:before="0" w:after="0" w:line="408" w:lineRule="exact"/>
        <w:ind w:left="0" w:right="0" w:firstLine="576"/>
        <w:jc w:val="left"/>
      </w:pPr>
      <w:r>
        <w:rPr>
          <w:u w:val="single"/>
        </w:rPr>
        <w:t xml:space="preserve">(iv) For public health;</w:t>
      </w:r>
    </w:p>
    <w:p>
      <w:pPr>
        <w:spacing w:before="0" w:after="0" w:line="408" w:lineRule="exact"/>
        <w:ind w:left="0" w:right="0" w:firstLine="576"/>
        <w:jc w:val="left"/>
      </w:pPr>
      <w:r>
        <w:rPr>
          <w:u w:val="single"/>
        </w:rPr>
        <w:t xml:space="preserve">(v) For public safety;</w:t>
      </w:r>
    </w:p>
    <w:p>
      <w:pPr>
        <w:spacing w:before="0" w:after="0" w:line="408" w:lineRule="exact"/>
        <w:ind w:left="0" w:right="0" w:firstLine="576"/>
        <w:jc w:val="left"/>
      </w:pPr>
      <w:r>
        <w:rPr>
          <w:u w:val="single"/>
        </w:rPr>
        <w:t xml:space="preserve">(vi) For assessing and collecting state revenue;</w:t>
      </w:r>
    </w:p>
    <w:p>
      <w:pPr>
        <w:spacing w:before="0" w:after="0" w:line="408" w:lineRule="exact"/>
        <w:ind w:left="0" w:right="0" w:firstLine="576"/>
        <w:jc w:val="left"/>
      </w:pPr>
      <w:r>
        <w:rPr>
          <w:u w:val="single"/>
        </w:rPr>
        <w:t xml:space="preserve">(vii) For education of children in grades kindergarten through twelve, other than the program of basic education.</w:t>
      </w:r>
    </w:p>
    <w:p>
      <w:pPr>
        <w:spacing w:before="0" w:after="0" w:line="408" w:lineRule="exact"/>
        <w:ind w:left="0" w:right="0" w:firstLine="576"/>
        <w:jc w:val="left"/>
      </w:pPr>
      <w:r>
        <w:rPr>
          <w:u w:val="single"/>
        </w:rPr>
        <w:t xml:space="preserve">(c) In making allotment reductions under this section, the governor must:</w:t>
      </w:r>
    </w:p>
    <w:p>
      <w:pPr>
        <w:spacing w:before="0" w:after="0" w:line="408" w:lineRule="exact"/>
        <w:ind w:left="0" w:right="0" w:firstLine="576"/>
        <w:jc w:val="left"/>
      </w:pPr>
      <w:r>
        <w:rPr>
          <w:u w:val="single"/>
        </w:rPr>
        <w:t xml:space="preserve">(i) Preserve funding for constitutionally essential functions of the legislature, the judiciary, statewide elected officials in the executive branch, the department of corrections, and the department of social and health services mental health division; and</w:t>
      </w:r>
    </w:p>
    <w:p>
      <w:pPr>
        <w:spacing w:before="0" w:after="0" w:line="408" w:lineRule="exact"/>
        <w:ind w:left="0" w:right="0" w:firstLine="576"/>
        <w:jc w:val="left"/>
      </w:pPr>
      <w:r>
        <w:rPr>
          <w:u w:val="single"/>
        </w:rPr>
        <w:t xml:space="preserve">(ii) Make all permitted allotment reductions to agencies in each specified priority order before taking allotment reductions in the next specified priority order.</w:t>
      </w:r>
    </w:p>
    <w:p>
      <w:pPr>
        <w:spacing w:before="0" w:after="0" w:line="408" w:lineRule="exact"/>
        <w:ind w:left="0" w:right="0" w:firstLine="576"/>
        <w:jc w:val="left"/>
      </w:pPr>
      <w:r>
        <w:rPr>
          <w:u w:val="single"/>
        </w:rPr>
        <w:t xml:space="preserve">(d) For purposes of this section, allotment reductions apply to the general fund and related funds as defined in RCW 43.88.055.</w:t>
      </w:r>
    </w:p>
    <w:p>
      <w:pPr>
        <w:spacing w:before="0" w:after="0" w:line="408" w:lineRule="exact"/>
        <w:ind w:left="0" w:right="0" w:firstLine="576"/>
        <w:jc w:val="left"/>
      </w:pPr>
      <w:r>
        <w:rPr>
          <w:u w:val="single"/>
        </w:rPr>
        <w:t xml:space="preserve">(e) To facilitate compliance with this subsection, the legislature in the omnibus operating appropriations act must assign agencies to one of the priority categories in (b) of this subsection. The legislature may divide the activities of an agency among multiple categories, but it is not required to do so.</w:t>
      </w:r>
    </w:p>
    <w:p>
      <w:pPr>
        <w:spacing w:before="0" w:after="0" w:line="408" w:lineRule="exact"/>
        <w:ind w:left="0" w:right="0" w:firstLine="576"/>
        <w:jc w:val="left"/>
      </w:pPr>
      <w:r>
        <w:rPr>
          <w:u w:val="single"/>
        </w:rPr>
        <w:t xml:space="preserve">(9)</w:t>
      </w:r>
      <w:r>
        <w:rPr/>
        <w:t xml:space="preserve"> It is expressly provided that all agencies shall be required to maintain accounting records and to report thereon in the manner prescribed in this chapter and under the regulations issued pursuant to this chapter. Within ninety days of the end of the fiscal year, all agencies shall submit to the director of financial management their final adjustments to close their books for the fiscal year. Prior to submitting fiscal data, written or oral, to committees of the legislature, it is the responsibility of the agency submitting the data to reconcile it with the budget and accounting data reported by the agency to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of financial management may exempt certain public funds from the allotment controls established under this chapter if it is not practical or necessary to allot the funds. Allotment control exemptions expire at the end of the fiscal biennium for which they are granted. The director of financial management shall report any exemptions granted under this subsection to the legislative fiscal committees.</w:t>
      </w:r>
    </w:p>
    <w:p/>
    <w:p>
      <w:pPr>
        <w:jc w:val="center"/>
      </w:pPr>
      <w:r>
        <w:rPr>
          <w:b/>
        </w:rPr>
        <w:t>--- END ---</w:t>
      </w:r>
    </w:p>
    <w:sectPr>
      <w:pgNumType w:start="1"/>
      <w:footerReference xmlns:r="http://schemas.openxmlformats.org/officeDocument/2006/relationships" r:id="R9b3bc23af88b40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7d716952c6412b" /><Relationship Type="http://schemas.openxmlformats.org/officeDocument/2006/relationships/footer" Target="/word/footer.xml" Id="R9b3bc23af88b404d" /></Relationships>
</file>