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fe80560d2b4b61" /></Relationships>
</file>

<file path=word/document.xml><?xml version="1.0" encoding="utf-8"?>
<w:document xmlns:w="http://schemas.openxmlformats.org/wordprocessingml/2006/main">
  <w:body>
    <w:p>
      <w:r>
        <w:t>H-4118.1</w:t>
      </w:r>
    </w:p>
    <w:p>
      <w:pPr>
        <w:jc w:val="center"/>
      </w:pPr>
      <w:r>
        <w:t>_______________________________________________</w:t>
      </w:r>
    </w:p>
    <w:p/>
    <w:p>
      <w:pPr>
        <w:jc w:val="center"/>
      </w:pPr>
      <w:r>
        <w:rPr>
          <w:b/>
        </w:rPr>
        <w:t>SUBSTITUTE HOUSE BILL 2389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Sawyer, Lytton, Tarleton, Doglio, and Stonier)</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tax levied and collected on the retail sale of wireless devices used to access the internet; amending RCW 82.32.145; adding a new chapter to Title 82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internet crimes against children task force program, through the United States department of justice, helps state and local law enforcement agencies develop an effective response to technology-facilitated child sexual exploitation and internet crimes against children. This help encompasses forensic and investigative components, training and technical assistance, victim services, and community education. The program is a national network of sixty-one coordinated task forces representing over three thousand five hundred federal, state, and local law enforcement and prosecutorial agencies.</w:t>
      </w:r>
    </w:p>
    <w:p>
      <w:pPr>
        <w:spacing w:before="0" w:after="0" w:line="408" w:lineRule="exact"/>
        <w:ind w:left="0" w:right="0" w:firstLine="576"/>
        <w:jc w:val="left"/>
      </w:pPr>
      <w:r>
        <w:rPr/>
        <w:t xml:space="preserve">(2) The legislature created the Washington internet crimes against children account in 2015 to support the Washington internet crimes against children task force. The account is dedicated to combat internet-facilitated crimes against children, promote education on internet safety to the public and to minors, and rescue children victims from abuse and exploitation.</w:t>
      </w:r>
    </w:p>
    <w:p>
      <w:pPr>
        <w:spacing w:before="0" w:after="0" w:line="408" w:lineRule="exact"/>
        <w:ind w:left="0" w:right="0" w:firstLine="576"/>
        <w:jc w:val="left"/>
      </w:pPr>
      <w:r>
        <w:rPr/>
        <w:t xml:space="preserve">(3) The legislature finds that perpetrators use wireless devices used to access the internet to commit internet crimes against children. It is the intent of the legislature to collect a forty cent tax on each retail sale of wireless devices used to access the internet and dedicate the revenue to the Washington internet crimes against children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levied and collected a tax equal to forty cents on each retail sale in this state of wireless devices used to access the internet.</w:t>
      </w:r>
    </w:p>
    <w:p>
      <w:pPr>
        <w:spacing w:before="0" w:after="0" w:line="408" w:lineRule="exact"/>
        <w:ind w:left="0" w:right="0" w:firstLine="576"/>
        <w:jc w:val="left"/>
      </w:pPr>
      <w:r>
        <w:rPr/>
        <w:t xml:space="preserve">(2) The revenue collected under this section must be deposited in the Washington internet crimes against children account.</w:t>
      </w:r>
    </w:p>
    <w:p>
      <w:pPr>
        <w:spacing w:before="0" w:after="0" w:line="408" w:lineRule="exact"/>
        <w:ind w:left="0" w:right="0" w:firstLine="576"/>
        <w:jc w:val="left"/>
      </w:pPr>
      <w:r>
        <w:rPr/>
        <w:t xml:space="preserve">(3) "Wireless devices used to access the internet" means smartphones, laptops, desktops, tablets, and gaming consoles used to access the internet.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145</w:t>
      </w:r>
      <w:r>
        <w:rPr/>
        <w:t xml:space="preserve"> and 2015 c 188 s 121 are each amended to read as follows:</w:t>
      </w:r>
    </w:p>
    <w:p>
      <w:pPr>
        <w:spacing w:before="0" w:after="0" w:line="408" w:lineRule="exact"/>
        <w:ind w:left="0" w:right="0" w:firstLine="576"/>
        <w:jc w:val="left"/>
      </w:pPr>
      <w:r>
        <w:rPr/>
        <w:t xml:space="preserve">(1) Whenever the department has issued a warrant under RCW 82.32.210 for the collection of unpaid trust fund taxes from a limited liability business entity and that business entity has been terminated, dissolved, or abandoned, or is insolvent, the department may pursue collection of the entity's unpaid trust fund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pPr>
        <w:spacing w:before="0" w:after="0" w:line="408" w:lineRule="exact"/>
        <w:ind w:left="0" w:right="0" w:firstLine="576"/>
        <w:jc w:val="left"/>
      </w:pPr>
      <w:r>
        <w:rPr/>
        <w:t xml:space="preserve">(2) Personal liability under this section may be imposed for state and local trust fund taxes.</w:t>
      </w:r>
    </w:p>
    <w:p>
      <w:pPr>
        <w:spacing w:before="0" w:after="0" w:line="408" w:lineRule="exact"/>
        <w:ind w:left="0" w:right="0" w:firstLine="576"/>
        <w:jc w:val="left"/>
      </w:pPr>
      <w:r>
        <w:rPr/>
        <w:t xml:space="preserve">(3)(a)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fails to pay or to cause to be paid to the department the trust fund taxes due from the limited liability business entity.</w:t>
      </w:r>
    </w:p>
    <w:p>
      <w:pPr>
        <w:spacing w:before="0" w:after="0" w:line="408" w:lineRule="exact"/>
        <w:ind w:left="0" w:right="0" w:firstLine="576"/>
        <w:jc w:val="left"/>
      </w:pPr>
      <w:r>
        <w:rPr/>
        <w:t xml:space="preserve">(4)(a) Except as provided in this subsection (4)(a),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department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department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department.</w:t>
      </w:r>
    </w:p>
    <w:p>
      <w:pPr>
        <w:spacing w:before="0" w:after="0" w:line="408" w:lineRule="exact"/>
        <w:ind w:left="0" w:right="0" w:firstLine="576"/>
        <w:jc w:val="left"/>
      </w:pPr>
      <w:r>
        <w:rPr/>
        <w:t xml:space="preserve">(5) Persons described in subsection (3)(b) of this section are exempt from liability under this section in situations where nonpayment of the limited liability business entity's trust fund taxes is due to reasons beyond their control as determined by the department by rule.</w:t>
      </w:r>
    </w:p>
    <w:p>
      <w:pPr>
        <w:spacing w:before="0" w:after="0" w:line="408" w:lineRule="exact"/>
        <w:ind w:left="0" w:right="0" w:firstLine="576"/>
        <w:jc w:val="left"/>
      </w:pPr>
      <w:r>
        <w:rPr/>
        <w:t xml:space="preserve">(6) Any person having been issued a notice of assessment under this section is entitled to the appeal procedures under RCW 82.32.160, 82.32.170, 82.32.180, 82.32.190, and 82.32.200.</w:t>
      </w:r>
    </w:p>
    <w:p>
      <w:pPr>
        <w:spacing w:before="0" w:after="0" w:line="408" w:lineRule="exact"/>
        <w:ind w:left="0" w:right="0" w:firstLine="576"/>
        <w:jc w:val="left"/>
      </w:pPr>
      <w:r>
        <w:rPr/>
        <w:t xml:space="preserve">(7)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(8) Collection authority and procedures prescribed in this chapter apply to collections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(d) "Manager" has the same meaning as in RCW 25.15.006.</w:t>
      </w:r>
    </w:p>
    <w:p>
      <w:pPr>
        <w:spacing w:before="0" w:after="0" w:line="408" w:lineRule="exact"/>
        <w:ind w:left="0" w:right="0" w:firstLine="576"/>
        <w:jc w:val="left"/>
      </w:pPr>
      <w:r>
        <w:rPr/>
        <w:t xml:space="preserve">(e) "Member" has the same meaning as in RCW 25.15.006, except that the term only includes members of member-managed limited liability companies.</w:t>
      </w:r>
    </w:p>
    <w:p>
      <w:pPr>
        <w:spacing w:before="0" w:after="0" w:line="408" w:lineRule="exact"/>
        <w:ind w:left="0" w:right="0" w:firstLine="576"/>
        <w:jc w:val="left"/>
      </w:pPr>
      <w:r>
        <w:rPr/>
        <w:t xml:space="preserve">(f) "Officer" means any officer or assistant officer of a corporation, including the president, vice president, secretary, and treasurer.</w:t>
      </w:r>
    </w:p>
    <w:p>
      <w:pPr>
        <w:spacing w:before="0" w:after="0" w:line="408" w:lineRule="exact"/>
        <w:ind w:left="0" w:right="0" w:firstLine="576"/>
        <w:jc w:val="left"/>
      </w:pPr>
      <w:r>
        <w:rPr/>
        <w:t xml:space="preserve">(g)(i) "Responsible individual" includes any current or former officer, manager, member, partner, or trustee of a limited liability business entity with an unpaid tax warrant issued by the department.</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 reflected in a tax warrant issued by the department.</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(9)(g)(iii), "taxpayer" means a limited liability business entity with an unpaid tax warrant issued against it by the department.</w:t>
      </w:r>
    </w:p>
    <w:p>
      <w:pPr>
        <w:spacing w:before="0" w:after="0" w:line="408" w:lineRule="exact"/>
        <w:ind w:left="0" w:right="0" w:firstLine="576"/>
        <w:jc w:val="left"/>
      </w:pPr>
      <w:r>
        <w:rPr/>
        <w:t xml:space="preserve">(h) "Trust fund taxes" means taxes collected from purchasers and held in trust under RCW 82.08.050, including taxes imposed under RCW 82.08.020 </w:t>
      </w:r>
      <w:r>
        <w:t>((</w:t>
      </w:r>
      <w:r>
        <w:rPr>
          <w:strike/>
        </w:rPr>
        <w:t xml:space="preserve">and</w:t>
      </w:r>
      <w:r>
        <w:t>))</w:t>
      </w:r>
      <w:r>
        <w:rPr>
          <w:u w:val="single"/>
        </w:rPr>
        <w:t xml:space="preserve">,</w:t>
      </w:r>
      <w:r>
        <w:rPr/>
        <w:t xml:space="preserve"> 82.08.150</w:t>
      </w:r>
      <w:r>
        <w:rPr>
          <w:u w:val="single"/>
        </w:rPr>
        <w:t xml:space="preserve">, and section 2 of this act</w:t>
      </w:r>
      <w:r>
        <w:rPr/>
        <w:t xml:space="preserve">.</w:t>
      </w:r>
    </w:p>
    <w:p>
      <w:pPr>
        <w:spacing w:before="0" w:after="0" w:line="408" w:lineRule="exact"/>
        <w:ind w:left="0" w:right="0" w:firstLine="576"/>
        <w:jc w:val="left"/>
      </w:pPr>
      <w:r>
        <w:rPr/>
        <w:t xml:space="preserve">(i) "Willfully fails to pay or to cause to be paid" means that the failure was the result of an intentional, conscious, and voluntary course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a8277b869e6648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83d33100cf4420" /><Relationship Type="http://schemas.openxmlformats.org/officeDocument/2006/relationships/footer" Target="/word/footer.xml" Id="Ra8277b869e66486f" /></Relationships>
</file>