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3a1178f354bf9" /></Relationships>
</file>

<file path=word/document.xml><?xml version="1.0" encoding="utf-8"?>
<w:document xmlns:w="http://schemas.openxmlformats.org/wordprocessingml/2006/main">
  <w:body>
    <w:p>
      <w:r>
        <w:t>H-4222.1</w:t>
      </w:r>
    </w:p>
    <w:p>
      <w:pPr>
        <w:jc w:val="center"/>
      </w:pPr>
      <w:r>
        <w:t>_______________________________________________</w:t>
      </w:r>
    </w:p>
    <w:p/>
    <w:p>
      <w:pPr>
        <w:jc w:val="center"/>
      </w:pPr>
      <w:r>
        <w:rPr>
          <w:b/>
        </w:rPr>
        <w:t>SUBSTITUTE HOUSE BILL 2319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Doglio, Hudgins, Tarleton, Fey, Wylie, Fitzgibbon, Dolan, Ryu, and Appleton)</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energy conservation programs under the energy independence act; and amending RCW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w:t>
      </w:r>
      <w:r>
        <w:rPr>
          <w:u w:val="single"/>
        </w:rPr>
        <w:t xml:space="preserve">(i) Beginning January 1, 2020, in meeting its conservation targets under this section, an investor-owned utility must offer the following program options:</w:t>
      </w:r>
    </w:p>
    <w:p>
      <w:pPr>
        <w:spacing w:before="0" w:after="0" w:line="408" w:lineRule="exact"/>
        <w:ind w:left="0" w:right="0" w:firstLine="576"/>
        <w:jc w:val="left"/>
      </w:pPr>
      <w:r>
        <w:rPr>
          <w:u w:val="single"/>
        </w:rPr>
        <w:t xml:space="preserve">(A) A meter-based performance program option that links customer conservation incentives directly to energy savings by measuring the overall reduction in electricity consumption; and</w:t>
      </w:r>
    </w:p>
    <w:p>
      <w:pPr>
        <w:spacing w:before="0" w:after="0" w:line="408" w:lineRule="exact"/>
        <w:ind w:left="0" w:right="0" w:firstLine="576"/>
        <w:jc w:val="left"/>
      </w:pPr>
      <w:r>
        <w:rPr>
          <w:u w:val="single"/>
        </w:rPr>
        <w:t xml:space="preserve">(B) An energy performance baseline program option that uses buildings' current electric energy use to calculate financial incentives to achieve greater energy savings in existing residential and nonresidential building stock that fall below the current standards of the Washington state energy code as established pursuant to chapter 19.27A RCW;</w:t>
      </w:r>
    </w:p>
    <w:p>
      <w:pPr>
        <w:spacing w:before="0" w:after="0" w:line="408" w:lineRule="exact"/>
        <w:ind w:left="0" w:right="0" w:firstLine="576"/>
        <w:jc w:val="left"/>
      </w:pPr>
      <w:r>
        <w:rPr>
          <w:u w:val="single"/>
        </w:rPr>
        <w:t xml:space="preserve">(ii) In the interest of protecting personally identifying information collected or otherwise acquired in implementing the program options under (e)(i) of this subsection, investor-owned utilities must exercise the same care as provided in RCW 19.27A.170(2).</w:t>
      </w:r>
    </w:p>
    <w:p>
      <w:pPr>
        <w:spacing w:before="0" w:after="0" w:line="408" w:lineRule="exact"/>
        <w:ind w:left="0" w:right="0" w:firstLine="576"/>
        <w:jc w:val="left"/>
      </w:pPr>
      <w:r>
        <w:rPr>
          <w:u w:val="single"/>
        </w:rPr>
        <w:t xml:space="preserve">(f)</w:t>
      </w:r>
      <w:r>
        <w:rPr/>
        <w:t xml:space="preserv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commission may rely on its standard practice for review and approval of investor</w:t>
      </w:r>
      <w:r>
        <w:rPr/>
        <w:noBreakHyphen/>
      </w:r>
      <w:r>
        <w:rPr/>
        <w:t xml:space="preserve">owned utility conservation targets </w:t>
      </w:r>
      <w:r>
        <w:rPr>
          <w:u w:val="single"/>
        </w:rPr>
        <w:t xml:space="preserve">and for the authorization of programs established under (e) of this subsection</w:t>
      </w:r>
      <w:r>
        <w:rPr/>
        <w:t xml:space="preserve">.</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d976ce7644fd4a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2136dcaa2d4de8" /><Relationship Type="http://schemas.openxmlformats.org/officeDocument/2006/relationships/footer" Target="/word/footer.xml" Id="Rd976ce7644fd4a57" /></Relationships>
</file>