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812d68b5db4c75" /></Relationships>
</file>

<file path=word/document.xml><?xml version="1.0" encoding="utf-8"?>
<w:document xmlns:w="http://schemas.openxmlformats.org/wordprocessingml/2006/main">
  <w:body>
    <w:p>
      <w:r>
        <w:t>H-5074.1</w:t>
      </w:r>
    </w:p>
    <w:p>
      <w:pPr>
        <w:jc w:val="center"/>
      </w:pPr>
      <w:r>
        <w:t>_______________________________________________</w:t>
      </w:r>
    </w:p>
    <w:p/>
    <w:p>
      <w:pPr>
        <w:jc w:val="center"/>
      </w:pPr>
      <w:r>
        <w:rPr>
          <w:b/>
        </w:rPr>
        <w:t>SECOND SUBSTITUTE HOUSE BILL 2283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DeBolt, Smith, Orcutt, and Condotta)</w:t>
      </w:r>
    </w:p>
    <w:p/>
    <w:p>
      <w:r>
        <w:rPr>
          <w:t xml:space="preserve">READ FIRST TIME 02/26/18.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investment in and reducing the costs of transitioning to the clean energy future;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carbon-free, renewable, and economical energy is established, with members as provided in this subsection (1).</w:t>
      </w:r>
    </w:p>
    <w:p>
      <w:pPr>
        <w:spacing w:before="0" w:after="0" w:line="408" w:lineRule="exact"/>
        <w:ind w:left="0" w:right="0" w:firstLine="576"/>
        <w:jc w:val="left"/>
      </w:pPr>
      <w:r>
        <w:rPr/>
        <w:t xml:space="preserve">(i) The president of the senate must appoint one member from each of the two largest caucuses of the senate.</w:t>
      </w:r>
    </w:p>
    <w:p>
      <w:pPr>
        <w:spacing w:before="0" w:after="0" w:line="408" w:lineRule="exact"/>
        <w:ind w:left="0" w:right="0" w:firstLine="576"/>
        <w:jc w:val="left"/>
      </w:pPr>
      <w:r>
        <w:rPr/>
        <w:t xml:space="preserve">(ii) The speaker of the house of representatives must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must appoint the following members representing relevant stakeholders:</w:t>
      </w:r>
    </w:p>
    <w:p>
      <w:pPr>
        <w:spacing w:before="0" w:after="0" w:line="408" w:lineRule="exact"/>
        <w:ind w:left="0" w:right="0" w:firstLine="576"/>
        <w:jc w:val="left"/>
      </w:pPr>
      <w:r>
        <w:rPr/>
        <w:t xml:space="preserve">(A) Three representatives of investor-owned utilities;</w:t>
      </w:r>
    </w:p>
    <w:p>
      <w:pPr>
        <w:spacing w:before="0" w:after="0" w:line="408" w:lineRule="exact"/>
        <w:ind w:left="0" w:right="0" w:firstLine="576"/>
        <w:jc w:val="left"/>
      </w:pPr>
      <w:r>
        <w:rPr/>
        <w:t xml:space="preserve">(B) Three representatives of consumer-owned utilities, one of which must represent a consumer-owned utility that owns and operates electric generation resources, one of which must represent a consumer-owned utility that does not own and operate electric generation resources, and one of which must represent a rural electric cooperative;</w:t>
      </w:r>
    </w:p>
    <w:p>
      <w:pPr>
        <w:spacing w:before="0" w:after="0" w:line="408" w:lineRule="exact"/>
        <w:ind w:left="0" w:right="0" w:firstLine="576"/>
        <w:jc w:val="left"/>
      </w:pPr>
      <w:r>
        <w:rPr/>
        <w:t xml:space="preserve">(C) One representative of industrial ratepayers;</w:t>
      </w:r>
    </w:p>
    <w:p>
      <w:pPr>
        <w:spacing w:before="0" w:after="0" w:line="408" w:lineRule="exact"/>
        <w:ind w:left="0" w:right="0" w:firstLine="576"/>
        <w:jc w:val="left"/>
      </w:pPr>
      <w:r>
        <w:rPr/>
        <w:t xml:space="preserve">(D) One representative of the Bonneville power administration;</w:t>
      </w:r>
    </w:p>
    <w:p>
      <w:pPr>
        <w:spacing w:before="0" w:after="0" w:line="408" w:lineRule="exact"/>
        <w:ind w:left="0" w:right="0" w:firstLine="576"/>
        <w:jc w:val="left"/>
      </w:pPr>
      <w:r>
        <w:rPr/>
        <w:t xml:space="preserve">(E) Three representatives of organizations which advocate for clean energy technologies and greenhouse gas emissions reductions; and</w:t>
      </w:r>
    </w:p>
    <w:p>
      <w:pPr>
        <w:spacing w:before="0" w:after="0" w:line="408" w:lineRule="exact"/>
        <w:ind w:left="0" w:right="0" w:firstLine="576"/>
        <w:jc w:val="left"/>
      </w:pPr>
      <w:r>
        <w:rPr/>
        <w:t xml:space="preserve">(F) One representative of the Northwest power and planning council.</w:t>
      </w:r>
    </w:p>
    <w:p>
      <w:pPr>
        <w:spacing w:before="0" w:after="0" w:line="408" w:lineRule="exact"/>
        <w:ind w:left="0" w:right="0" w:firstLine="576"/>
        <w:jc w:val="left"/>
      </w:pPr>
      <w:r>
        <w:rPr/>
        <w:t xml:space="preserve">(iv) The governor must appoint members representing the following state agencies:</w:t>
      </w:r>
    </w:p>
    <w:p>
      <w:pPr>
        <w:spacing w:before="0" w:after="0" w:line="408" w:lineRule="exact"/>
        <w:ind w:left="0" w:right="0" w:firstLine="576"/>
        <w:jc w:val="left"/>
      </w:pPr>
      <w:r>
        <w:rPr/>
        <w:t xml:space="preserve">(A) One representative of the Washington utilities and transportation commission; and</w:t>
      </w:r>
    </w:p>
    <w:p>
      <w:pPr>
        <w:spacing w:before="0" w:after="0" w:line="408" w:lineRule="exact"/>
        <w:ind w:left="0" w:right="0" w:firstLine="576"/>
        <w:jc w:val="left"/>
      </w:pPr>
      <w:r>
        <w:rPr/>
        <w:t xml:space="preserve">(B) One representative of the department of commerce.</w:t>
      </w:r>
    </w:p>
    <w:p>
      <w:pPr>
        <w:spacing w:before="0" w:after="0" w:line="408" w:lineRule="exact"/>
        <w:ind w:left="0" w:right="0" w:firstLine="576"/>
        <w:jc w:val="left"/>
      </w:pPr>
      <w:r>
        <w:rPr/>
        <w:t xml:space="preserve">(b) The task force must choose its cochairs from among its legislative membership. The chair of the joint committee on energy supply and energy conservation shall convene the initial meeting of the task force.</w:t>
      </w:r>
    </w:p>
    <w:p>
      <w:pPr>
        <w:spacing w:before="0" w:after="0" w:line="408" w:lineRule="exact"/>
        <w:ind w:left="0" w:right="0" w:firstLine="576"/>
        <w:jc w:val="left"/>
      </w:pPr>
      <w:r>
        <w:rPr/>
        <w:t xml:space="preserve">(2) The task force must review the technological feasibility, timeline, cost, and other impacts of transitioning Washington's electricity sector to one hundred percent carbon-free generation resources, including but not limited to the following issues:</w:t>
      </w:r>
    </w:p>
    <w:p>
      <w:pPr>
        <w:spacing w:before="0" w:after="0" w:line="408" w:lineRule="exact"/>
        <w:ind w:left="0" w:right="0" w:firstLine="576"/>
        <w:jc w:val="left"/>
      </w:pPr>
      <w:r>
        <w:rPr/>
        <w:t xml:space="preserve">(a) Technological feasibility, including an examination of resources known to be commercially available, the potential for storage, and replacement of baseload fossil fuel generation;</w:t>
      </w:r>
    </w:p>
    <w:p>
      <w:pPr>
        <w:spacing w:before="0" w:after="0" w:line="408" w:lineRule="exact"/>
        <w:ind w:left="0" w:right="0" w:firstLine="576"/>
        <w:jc w:val="left"/>
      </w:pPr>
      <w:r>
        <w:rPr/>
        <w:t xml:space="preserve">(b) Reliability, ratepayer costs, and regional market impacts, including impacts on multistate utilities, energy imbalance markets, the potential for negative pricing, and impacts on renewable energy credit markets;</w:t>
      </w:r>
    </w:p>
    <w:p>
      <w:pPr>
        <w:spacing w:before="0" w:after="0" w:line="408" w:lineRule="exact"/>
        <w:ind w:left="0" w:right="0" w:firstLine="576"/>
        <w:jc w:val="left"/>
      </w:pPr>
      <w:r>
        <w:rPr/>
        <w:t xml:space="preserve">(c) The unique aspects of Washington's utilities;</w:t>
      </w:r>
    </w:p>
    <w:p>
      <w:pPr>
        <w:spacing w:before="0" w:after="0" w:line="408" w:lineRule="exact"/>
        <w:ind w:left="0" w:right="0" w:firstLine="576"/>
        <w:jc w:val="left"/>
      </w:pPr>
      <w:r>
        <w:rPr/>
        <w:t xml:space="preserve">(d) The effect of transportation electrification on load;</w:t>
      </w:r>
    </w:p>
    <w:p>
      <w:pPr>
        <w:spacing w:before="0" w:after="0" w:line="408" w:lineRule="exact"/>
        <w:ind w:left="0" w:right="0" w:firstLine="576"/>
        <w:jc w:val="left"/>
      </w:pPr>
      <w:r>
        <w:rPr/>
        <w:t xml:space="preserve">(e) The potential policy interactions between an emission reduction requirement for the electricity sector and other carbon reduction policies, such as a carbon tax;</w:t>
      </w:r>
    </w:p>
    <w:p>
      <w:pPr>
        <w:spacing w:before="0" w:after="0" w:line="408" w:lineRule="exact"/>
        <w:ind w:left="0" w:right="0" w:firstLine="576"/>
        <w:jc w:val="left"/>
      </w:pPr>
      <w:r>
        <w:rPr/>
        <w:t xml:space="preserve">(f) An assessment of appropriate incentives, if any, to facilitate the transition to decarbonization;</w:t>
      </w:r>
    </w:p>
    <w:p>
      <w:pPr>
        <w:spacing w:before="0" w:after="0" w:line="408" w:lineRule="exact"/>
        <w:ind w:left="0" w:right="0" w:firstLine="576"/>
        <w:jc w:val="left"/>
      </w:pPr>
      <w:r>
        <w:rPr/>
        <w:t xml:space="preserve">(g) Federal and state regulatory and legal considerations; and</w:t>
      </w:r>
    </w:p>
    <w:p>
      <w:pPr>
        <w:spacing w:before="0" w:after="0" w:line="408" w:lineRule="exact"/>
        <w:ind w:left="0" w:right="0" w:firstLine="576"/>
        <w:jc w:val="left"/>
      </w:pPr>
      <w:r>
        <w:rPr/>
        <w:t xml:space="preserve">(h) Equitable treatment among utilities.</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must convene at least four meetings in 2018.</w:t>
      </w:r>
    </w:p>
    <w:p>
      <w:pPr>
        <w:spacing w:before="0" w:after="0" w:line="408" w:lineRule="exact"/>
        <w:ind w:left="0" w:right="0" w:firstLine="576"/>
        <w:jc w:val="left"/>
      </w:pPr>
      <w:r>
        <w:rPr/>
        <w:t xml:space="preserve">(7) The task force must report its findings and recommendations to the governor and the appropriate committees of the legislature, in compliance with RCW 43.01.036, by January 1, 2019.</w:t>
      </w:r>
    </w:p>
    <w:p>
      <w:pPr>
        <w:spacing w:before="0" w:after="0" w:line="408" w:lineRule="exact"/>
        <w:ind w:left="0" w:right="0" w:firstLine="576"/>
        <w:jc w:val="left"/>
      </w:pPr>
      <w:r>
        <w:rPr/>
        <w:t xml:space="preserve">(8) This section expires January 1, 2019.</w:t>
      </w:r>
    </w:p>
    <w:p/>
    <w:p>
      <w:pPr>
        <w:jc w:val="center"/>
      </w:pPr>
      <w:r>
        <w:rPr>
          <w:b/>
        </w:rPr>
        <w:t>--- END ---</w:t>
      </w:r>
    </w:p>
    <w:sectPr>
      <w:pgNumType w:start="1"/>
      <w:footerReference xmlns:r="http://schemas.openxmlformats.org/officeDocument/2006/relationships" r:id="Rad8086110bf94e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65f046e4174f96" /><Relationship Type="http://schemas.openxmlformats.org/officeDocument/2006/relationships/footer" Target="/word/footer.xml" Id="Rad8086110bf94eb4" /></Relationships>
</file>