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21a5e54c846e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Ormsby</w:t>
      </w:r>
    </w:p>
    <w:p/>
    <w:p>
      <w:r>
        <w:rPr>
          <w:t xml:space="preserve">Read first time 03/29/17.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budget stabilization account transfers; amending RCW 43.79.496;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PENSION FUNDING STABILIZATION ACCOUNT.</w:t>
      </w:r>
      <w:r>
        <w:t xml:space="preserve">  </w:t>
      </w:r>
      <w:r>
        <w:rPr/>
        <w:t xml:space="preserve">During the 2017-19 fiscal biennium, the treasurer shall transfer the sum of $925,166,000 from the budget stabilization account into the pension funding stabilization account. For purposes of RCW 43.88.055(4), the transfer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DISASTER RESPONSE ACCOUNT.</w:t>
      </w:r>
      <w:r>
        <w:t xml:space="preserve">  </w:t>
      </w:r>
      <w:r>
        <w:rPr/>
        <w:t xml:space="preserve">During the 2017-19 fiscal biennium, the treasurer must transfer the sum of $19,000,000 from the budget stabilization account to the  disaster response account. This amount is provided solely for disaster response and recovery efforts. For purposes of RCW 43.88.055(4), the transfer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$14,500,000, or as much thereof as may be necessary, is appropriated from the budget stabilization account for the fiscal year ending June 30, 2017, and is provided solely for Washington state fire service resource mobilization costs incurred in response to an emergency or disaster authorized under RCW 43.43.960 through 43.43.964 for wildfires.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$23,622,000 is appropriated from the budget stabilization account for the fiscal year ending June 30, 2017, and is provided solely for fire suppression costs incurred by the department of natural resources during the 2016 fire season. For purposes of RCW 43.88.055(4), the appropriation in this section does not alter the requirement to balance in ensuing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496</w:t>
      </w:r>
      <w:r>
        <w:rPr/>
        <w:t xml:space="preserve"> and 2015 3rd sp.s. c 2 s 1 are each amended to read as follows:</w:t>
      </w:r>
    </w:p>
    <w:p>
      <w:pPr>
        <w:spacing w:before="0" w:after="0" w:line="408" w:lineRule="exact"/>
        <w:ind w:left="0" w:right="0" w:firstLine="576"/>
        <w:jc w:val="left"/>
      </w:pPr>
      <w:r>
        <w:rPr/>
        <w:t xml:space="preserve">(1) By June 30, 2015, the treasurer shall transfer into the state general fund the entire budget stabilization account deposit for the 2013-2015 fiscal biennium that is attributable to extraordinary revenue growth, not to exceed fifty million dollars.</w:t>
      </w:r>
    </w:p>
    <w:p>
      <w:pPr>
        <w:spacing w:before="0" w:after="0" w:line="408" w:lineRule="exact"/>
        <w:ind w:left="0" w:right="0" w:firstLine="576"/>
        <w:jc w:val="left"/>
      </w:pPr>
      <w:r>
        <w:rPr/>
        <w:t xml:space="preserve">(2) </w:t>
      </w:r>
      <w:r>
        <w:t>((</w:t>
      </w:r>
      <w:r>
        <w:rPr>
          <w:strike/>
        </w:rPr>
        <w:t xml:space="preserve">During the 2015-2017 fiscal biennium, the treasurer shall transfer into the state general fund the entire budget stabilization account deposit for the 2015-2017 fiscal biennium that is attributable to extraordinary revenue growth, not to exceed seventy-five million dollars.</w:t>
      </w:r>
    </w:p>
    <w:p>
      <w:pPr>
        <w:spacing w:before="0" w:after="0" w:line="408" w:lineRule="exact"/>
        <w:ind w:left="0" w:right="0" w:firstLine="576"/>
        <w:jc w:val="left"/>
      </w:pPr>
      <w:r>
        <w:rPr>
          <w:strike/>
        </w:rPr>
        <w:t xml:space="preserve">(3)</w:t>
      </w:r>
      <w:r>
        <w:t>))</w:t>
      </w:r>
      <w:r>
        <w:rPr/>
        <w:t xml:space="preserve"> During the 2017-2019 fiscal biennium, the treasurer shall transfer into the state general fund the entire budget stabilization account deposit for the 2017-2019 fiscal biennium that is attributable to extraordinary revenue growth, not to exceed </w:t>
      </w:r>
      <w:r>
        <w:t>((</w:t>
      </w:r>
      <w:r>
        <w:rPr>
          <w:strike/>
        </w:rPr>
        <w:t xml:space="preserve">five hundred fifty</w:t>
      </w:r>
      <w:r>
        <w:t>))</w:t>
      </w:r>
      <w:r>
        <w:rPr/>
        <w:t xml:space="preserve"> </w:t>
      </w:r>
      <w:r>
        <w:rPr>
          <w:u w:val="single"/>
        </w:rPr>
        <w:t xml:space="preserve">one billion seventy-eight</w:t>
      </w:r>
      <w:r>
        <w:rPr/>
        <w:t xml:space="preserve"> million dollars.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For purposes of RCW 43.88.055(4), the transfers in this section do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d43f67be8884a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fd426c7f540b3" /><Relationship Type="http://schemas.openxmlformats.org/officeDocument/2006/relationships/footer" Target="/word/footer.xml" Id="Rad43f67be8884aea" /></Relationships>
</file>