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727ecac204a15" /></Relationships>
</file>

<file path=word/document.xml><?xml version="1.0" encoding="utf-8"?>
<w:document xmlns:w="http://schemas.openxmlformats.org/wordprocessingml/2006/main">
  <w:body>
    <w:p>
      <w:r>
        <w:t>H-0268.1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Shea, McCaslin, Taylor, Condotta, Hargrove, Kirby, Sells, Griffey, and Pike</w:t>
      </w:r>
    </w:p>
    <w:p/>
    <w:p>
      <w:r>
        <w:rPr>
          <w:t xml:space="preserve">Read first time 03/21/17.  </w:t>
        </w:rPr>
      </w:r>
      <w:r>
        <w:rPr>
          <w:t xml:space="preserve">Referred to Committee on State Govt, Elections &amp; IT.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implementation of year-round Pacific Standard Time; adding a new section to chapter 1.20 RCW; and repealing RCW 1.20.051.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time of the state of Washington shall be Pacific Standard Time throughout the calendar year, as determined by reference to Greenwich Mean Time.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051</w:t>
      </w:r>
      <w:r>
        <w:rPr/>
        <w:t xml:space="preserve"> (Daylight saving time) and 1963 c 14 s 1 &amp; 1961 c 3 s 1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60c8e98e1da455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84fa4b9f04973" /><Relationship Type="http://schemas.openxmlformats.org/officeDocument/2006/relationships/footer" Target="/word/footer.xml" Id="R560c8e98e1da455e" /></Relationships>
</file>