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a80c956adf4ba0" /></Relationships>
</file>

<file path=word/document.xml><?xml version="1.0" encoding="utf-8"?>
<w:document xmlns:w="http://schemas.openxmlformats.org/wordprocessingml/2006/main">
  <w:body>
    <w:p>
      <w:r>
        <w:t>H-2106.1</w:t>
      </w:r>
    </w:p>
    <w:p>
      <w:pPr>
        <w:jc w:val="center"/>
      </w:pPr>
      <w:r>
        <w:t>_______________________________________________</w:t>
      </w:r>
    </w:p>
    <w:p/>
    <w:p>
      <w:pPr>
        <w:jc w:val="center"/>
      </w:pPr>
      <w:r>
        <w:rPr>
          <w:b/>
        </w:rPr>
        <w:t>SECOND SUBSTITUTE HOUSE BILL 2009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Reeves, Stonier, Riccelli, Peterson, Doglio, Jinkins, Kilduff, Lovick, Tarleton, McBride, Ormsby, Stanford, Orwall, Muri, Slatter, Ryu, and Fey)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higher education support for gold star families; amending RCW 28B.15.621;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2015 c 55 s 222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u w:val="single"/>
        </w:rPr>
        <w:t xml:space="preserve">(f) Recipients who receive a waiver under subsection (4) of this section shall also receive a stipend for textbooks and course materials in the amount of five hundred dollars per academic year, to be divided equally among academic terms.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8b4785c4d3044a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4f05ebd544ebb" /><Relationship Type="http://schemas.openxmlformats.org/officeDocument/2006/relationships/footer" Target="/word/footer.xml" Id="R8b4785c4d3044a11" /></Relationships>
</file>