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294cd2289345c8" /></Relationships>
</file>

<file path=word/document.xml><?xml version="1.0" encoding="utf-8"?>
<w:document xmlns:w="http://schemas.openxmlformats.org/wordprocessingml/2006/main">
  <w:body>
    <w:p>
      <w:r>
        <w:t>H-0915.2</w:t>
      </w:r>
    </w:p>
    <w:p>
      <w:pPr>
        <w:jc w:val="center"/>
      </w:pPr>
      <w:r>
        <w:t>_______________________________________________</w:t>
      </w:r>
    </w:p>
    <w:p/>
    <w:p>
      <w:pPr>
        <w:jc w:val="center"/>
      </w:pPr>
      <w:r>
        <w:rPr>
          <w:b/>
        </w:rPr>
        <w:t>HOUSE BILL 1937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Stokesbary</w:t>
      </w:r>
    </w:p>
    <w:p/>
    <w:p>
      <w:r>
        <w:rPr>
          <w:t xml:space="preserve">Read first time 02/03/17.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buffer zones with respect to siting state-licensed marijuana businesses and entities near reservations of federally recognized tribes;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2nd sp.s. c 4 s 301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The state liquor and cannabis board must develop a competitive, merit-based application process that includes, at a minimum, the opportunity for an applicant to demonstrate experience and qualifications in the marijuana industry. The state liquor and cannabis board must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t xml:space="preserve">(i) First priority is given to applicants who:</w:t>
      </w:r>
    </w:p>
    <w:p>
      <w:pPr>
        <w:spacing w:before="0" w:after="0" w:line="408" w:lineRule="exact"/>
        <w:ind w:left="0" w:right="0" w:firstLine="576"/>
        <w:jc w:val="left"/>
      </w:pPr>
      <w:r>
        <w:rPr/>
        <w:t xml:space="preserve">(A) Applied to the state liquor and cannabis board for a marijuana retailer license prior to July 1, 2014;</w:t>
      </w:r>
    </w:p>
    <w:p>
      <w:pPr>
        <w:spacing w:before="0" w:after="0" w:line="408" w:lineRule="exact"/>
        <w:ind w:left="0" w:right="0" w:firstLine="576"/>
        <w:jc w:val="left"/>
      </w:pPr>
      <w:r>
        <w:rPr/>
        <w:t xml:space="preserve">(B) Operated or were employed by a collective garden before January 1, 2013;</w:t>
      </w:r>
    </w:p>
    <w:p>
      <w:pPr>
        <w:spacing w:before="0" w:after="0" w:line="408" w:lineRule="exact"/>
        <w:ind w:left="0" w:right="0" w:firstLine="576"/>
        <w:jc w:val="left"/>
      </w:pPr>
      <w:r>
        <w:rPr/>
        <w:t xml:space="preserve">(C) Have maintained a state business license and a municipal business license, as applicable in the relevant jurisdiction; and</w:t>
      </w:r>
    </w:p>
    <w:p>
      <w:pPr>
        <w:spacing w:before="0" w:after="0" w:line="408" w:lineRule="exact"/>
        <w:ind w:left="0" w:right="0" w:firstLine="576"/>
        <w:jc w:val="left"/>
      </w:pPr>
      <w:r>
        <w:rPr/>
        <w:t xml:space="preserve">(D) Have had a history of paying all applicable state taxes and fees;</w:t>
      </w:r>
    </w:p>
    <w:p>
      <w:pPr>
        <w:spacing w:before="0" w:after="0" w:line="408" w:lineRule="exact"/>
        <w:ind w:left="0" w:right="0" w:firstLine="576"/>
        <w:jc w:val="left"/>
      </w:pPr>
      <w:r>
        <w:rPr/>
        <w:t xml:space="preserve">(ii) Second priority must be given to applicants who:</w:t>
      </w:r>
    </w:p>
    <w:p>
      <w:pPr>
        <w:spacing w:before="0" w:after="0" w:line="408" w:lineRule="exact"/>
        <w:ind w:left="0" w:right="0" w:firstLine="576"/>
        <w:jc w:val="left"/>
      </w:pPr>
      <w:r>
        <w:rPr/>
        <w:t xml:space="preserve">(A) Operated or were employed by a collective garden before January 1, 2013;</w:t>
      </w:r>
    </w:p>
    <w:p>
      <w:pPr>
        <w:spacing w:before="0" w:after="0" w:line="408" w:lineRule="exact"/>
        <w:ind w:left="0" w:right="0" w:firstLine="576"/>
        <w:jc w:val="left"/>
      </w:pPr>
      <w:r>
        <w:rPr/>
        <w:t xml:space="preserve">(B) Have maintained a state business license and a municipal business license, as applicable in the relevant jurisdiction; and</w:t>
      </w:r>
    </w:p>
    <w:p>
      <w:pPr>
        <w:spacing w:before="0" w:after="0" w:line="408" w:lineRule="exact"/>
        <w:ind w:left="0" w:right="0" w:firstLine="576"/>
        <w:jc w:val="left"/>
      </w:pPr>
      <w:r>
        <w:rPr/>
        <w:t xml:space="preserve">(C) Have had a history of paying all applicable state taxes and fees; and</w:t>
      </w:r>
    </w:p>
    <w:p>
      <w:pPr>
        <w:spacing w:before="0" w:after="0" w:line="408" w:lineRule="exact"/>
        <w:ind w:left="0" w:right="0" w:firstLine="576"/>
        <w:jc w:val="left"/>
      </w:pPr>
      <w:r>
        <w:rPr/>
        <w:t xml:space="preserve">(iii) Third priority must be given to all other applicants who do not have the experience and qualifications identified in (a)(i) and (ii) of this subsection.</w:t>
      </w:r>
    </w:p>
    <w:p>
      <w:pPr>
        <w:spacing w:before="0" w:after="0" w:line="408" w:lineRule="exact"/>
        <w:ind w:left="0" w:right="0" w:firstLine="576"/>
        <w:jc w:val="left"/>
      </w:pPr>
      <w:r>
        <w:rPr/>
        <w:t xml:space="preserve">(b)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rPr/>
        <w:t xml:space="preserve">(c)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w:t>
      </w:r>
      <w:r>
        <w:t>((</w:t>
      </w:r>
      <w:r>
        <w:rPr>
          <w:strike/>
        </w:rPr>
        <w:t xml:space="preserve">or</w:t>
      </w:r>
      <w:r>
        <w:t>))</w:t>
      </w:r>
      <w:r>
        <w:rPr/>
        <w:t xml:space="preserve"> library, </w:t>
      </w:r>
      <w:r>
        <w:t>((</w:t>
      </w:r>
      <w:r>
        <w:rPr>
          <w:strike/>
        </w:rPr>
        <w:t xml:space="preserve">or</w:t>
      </w:r>
      <w:r>
        <w:t>))</w:t>
      </w:r>
      <w:r>
        <w:rPr/>
        <w:t xml:space="preserve"> any game arcade admission to which is not restricted to persons aged twenty-one years or older</w:t>
      </w:r>
      <w:r>
        <w:rPr>
          <w:u w:val="single"/>
        </w:rPr>
        <w:t xml:space="preserve">, or except as agreed to in a compact entered pursuant to RCW 43.06.490, the reservation of any federally recognized tribe</w:t>
      </w:r>
      <w:r>
        <w:rPr/>
        <w:t xml:space="preserve">.</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w:t>
      </w:r>
      <w:r>
        <w:t>((</w:t>
      </w:r>
      <w:r>
        <w:rPr>
          <w:strike/>
        </w:rPr>
        <w:t xml:space="preserve">and</w:t>
      </w:r>
      <w:r>
        <w:t>))</w:t>
      </w:r>
      <w:r>
        <w:rPr/>
        <w:t xml:space="preserve"> playgrounds, </w:t>
      </w:r>
      <w:r>
        <w:rPr>
          <w:u w:val="single"/>
        </w:rPr>
        <w:t xml:space="preserve">and the reservation of any federally recognized tribe,</w:t>
      </w:r>
      <w:r>
        <w:rPr/>
        <w:t xml:space="preserve">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w:t>
      </w:r>
      <w:r>
        <w:rPr>
          <w:u w:val="single"/>
        </w:rPr>
        <w:t xml:space="preserve">, except for the reservation of any federally recognized tribe,</w:t>
      </w:r>
      <w:r>
        <w:rPr/>
        <w:t xml:space="preserve">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(9) Subject to section 1601 of this act,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(11)(a) A licensed marijuana producer, processor, retailer, researcher, or transporter, the premises of which is, on the effective date of this section, within one thousand feet of the perimeter of the grounds of the reservation of any federally recognized tribe, may continue to operate notwithstanding subsection (8)(a) of this section. However, the license is forfeited upon the addition of a new true party of interest to the license.</w:t>
      </w:r>
    </w:p>
    <w:p>
      <w:pPr>
        <w:spacing w:before="0" w:after="0" w:line="408" w:lineRule="exact"/>
        <w:ind w:left="0" w:right="0" w:firstLine="576"/>
        <w:jc w:val="left"/>
      </w:pPr>
      <w:r>
        <w:rPr>
          <w:u w:val="single"/>
        </w:rPr>
        <w:t xml:space="preserve">(b) For purposes of this subsection, "true party of interest" has the same meaning as in WAC 314-55-035, as it exists on the effective date of this section, but does not include the spouse of a person who is a true party of interest.</w:t>
      </w:r>
    </w:p>
    <w:p/>
    <w:p>
      <w:pPr>
        <w:jc w:val="center"/>
      </w:pPr>
      <w:r>
        <w:rPr>
          <w:b/>
        </w:rPr>
        <w:t>--- END ---</w:t>
      </w:r>
    </w:p>
    <w:sectPr>
      <w:pgNumType w:start="1"/>
      <w:footerReference xmlns:r="http://schemas.openxmlformats.org/officeDocument/2006/relationships" r:id="R9a5a3aa1f3bb4b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69a6c1c3df43b5" /><Relationship Type="http://schemas.openxmlformats.org/officeDocument/2006/relationships/footer" Target="/word/footer.xml" Id="R9a5a3aa1f3bb4b8f" /></Relationships>
</file>