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7b572c35d4b3c" /></Relationships>
</file>

<file path=word/document.xml><?xml version="1.0" encoding="utf-8"?>
<w:document xmlns:w="http://schemas.openxmlformats.org/wordprocessingml/2006/main">
  <w:body>
    <w:p>
      <w:r>
        <w:t>H-1081.2</w:t>
      </w:r>
    </w:p>
    <w:p>
      <w:pPr>
        <w:jc w:val="center"/>
      </w:pPr>
      <w:r>
        <w:t>_______________________________________________</w:t>
      </w:r>
    </w:p>
    <w:p/>
    <w:p>
      <w:pPr>
        <w:jc w:val="center"/>
      </w:pPr>
      <w:r>
        <w:rPr>
          <w:b/>
        </w:rPr>
        <w:t>HOUSE BILL 1930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Frame, Rodne, and Jinkins</w:t>
      </w:r>
    </w:p>
    <w:p/>
    <w:p>
      <w:r>
        <w:rPr>
          <w:t xml:space="preserve">Read first time 02/03/17.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custody; amending RCW 26.10.030, 26.10.032, 26.10.100, 26.10.160, 26.10.190, 26.10.200, 26.09.260, and 26.09.270; and adding new sections to chapter 26.10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030</w:t>
      </w:r>
      <w:r>
        <w:rPr/>
        <w:t xml:space="preserve"> and 2003 c 105 s 3 are each amended to read as follows:</w:t>
      </w:r>
    </w:p>
    <w:p>
      <w:pPr>
        <w:spacing w:before="0" w:after="0" w:line="408" w:lineRule="exact"/>
        <w:ind w:left="0" w:right="0" w:firstLine="576"/>
        <w:jc w:val="left"/>
      </w:pPr>
      <w:r>
        <w:rPr/>
        <w:t xml:space="preserve">(1) Except as authorized for proceedings brought under chapter 13.34 RCW, or chapter 26.50 RCW in district or municipal courts, a child custody proceeding is commenced in the superior court by a person other than a parent, by filing a petition seeking custody of the child in the county where the child is permanently </w:t>
      </w:r>
      <w:r>
        <w:rPr>
          <w:u w:val="single"/>
        </w:rPr>
        <w:t xml:space="preserve">a</w:t>
      </w:r>
      <w:r>
        <w:rPr/>
        <w:t xml:space="preserve"> resident or where the child is found, but only if the child is not in the physical custody of one of its parents </w:t>
      </w:r>
      <w:r>
        <w:t>((</w:t>
      </w:r>
      <w:r>
        <w:rPr>
          <w:strike/>
        </w:rPr>
        <w:t xml:space="preserve">or if the petitioner alleges that</w:t>
      </w:r>
      <w:r>
        <w:t>))</w:t>
      </w:r>
      <w:r>
        <w:rPr/>
        <w:t xml:space="preserve"> </w:t>
      </w:r>
      <w:r>
        <w:rPr>
          <w:u w:val="single"/>
        </w:rPr>
        <w:t xml:space="preserve">and</w:t>
      </w:r>
      <w:r>
        <w:rPr/>
        <w:t xml:space="preserve"> neither parent is a suitable custodian. In proceedings in which the juvenile court has not exercised concurrent jurisdiction and prior to a child custody hearing, the court shall determine if the child is the subject of a pending dependency action.</w:t>
      </w:r>
    </w:p>
    <w:p>
      <w:pPr>
        <w:spacing w:before="0" w:after="0" w:line="408" w:lineRule="exact"/>
        <w:ind w:left="0" w:right="0" w:firstLine="576"/>
        <w:jc w:val="left"/>
      </w:pPr>
      <w:r>
        <w:rPr/>
        <w:t xml:space="preserve">(2) Notice of a child custody proceeding shall be given to the child's parent, guardian and custodian, who may appear and be heard and may file a responsive pleading. The court may, upon a showing of good cause, permit the intervention of other interested parties.</w:t>
      </w:r>
    </w:p>
    <w:p>
      <w:pPr>
        <w:spacing w:before="0" w:after="0" w:line="408" w:lineRule="exact"/>
        <w:ind w:left="0" w:right="0" w:firstLine="576"/>
        <w:jc w:val="left"/>
      </w:pPr>
      <w:r>
        <w:rPr/>
        <w:t xml:space="preserve">(3) The petitioner shall include in the petition the names of any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032</w:t>
      </w:r>
      <w:r>
        <w:rPr/>
        <w:t xml:space="preserve"> and 2003 c 105 s 6 are each amended to read as follows:</w:t>
      </w:r>
    </w:p>
    <w:p>
      <w:pPr>
        <w:spacing w:before="0" w:after="0" w:line="408" w:lineRule="exact"/>
        <w:ind w:left="0" w:right="0" w:firstLine="576"/>
        <w:jc w:val="left"/>
      </w:pPr>
      <w:r>
        <w:rPr/>
        <w:t xml:space="preserve">(1) A party seeking a custody order shall submit, along with his or her motion, </w:t>
      </w:r>
      <w:r>
        <w:t>((</w:t>
      </w:r>
      <w:r>
        <w:rPr>
          <w:strike/>
        </w:rPr>
        <w:t xml:space="preserve">an affidavit declaring</w:t>
      </w:r>
      <w:r>
        <w:t>))</w:t>
      </w:r>
      <w:r>
        <w:rPr/>
        <w:t xml:space="preserve"> </w:t>
      </w:r>
      <w:r>
        <w:rPr>
          <w:u w:val="single"/>
        </w:rPr>
        <w:t xml:space="preserve">a declaration stating</w:t>
      </w:r>
      <w:r>
        <w:rPr/>
        <w:t xml:space="preserve"> that the child is not in the physical custody of one of its parents </w:t>
      </w:r>
      <w:r>
        <w:t>((</w:t>
      </w:r>
      <w:r>
        <w:rPr>
          <w:strike/>
        </w:rPr>
        <w:t xml:space="preserve">or</w:t>
      </w:r>
      <w:r>
        <w:t>))</w:t>
      </w:r>
      <w:r>
        <w:rPr/>
        <w:t xml:space="preserve"> </w:t>
      </w:r>
      <w:r>
        <w:rPr>
          <w:u w:val="single"/>
        </w:rPr>
        <w:t xml:space="preserve">and</w:t>
      </w:r>
      <w:r>
        <w:rPr/>
        <w:t xml:space="preserve"> that neither parent is a suitable custodian and setting forth facts supporting the requested order. </w:t>
      </w:r>
      <w:r>
        <w:rPr>
          <w:u w:val="single"/>
        </w:rPr>
        <w:t xml:space="preserve">In a custody action between a nonparent and a parent, the nonparent seeking custody has the burden to show that the child is not in the physical custody of one of its parents and either: (a) Parental unfitness; or (b) that the child's growth and development would be detrimentally affected by placement with an otherwise fit parent.</w:t>
      </w:r>
      <w:r>
        <w:rPr/>
        <w:t xml:space="preserve"> The party seeking custody shall give notice, along with a copy of the </w:t>
      </w:r>
      <w:r>
        <w:t>((</w:t>
      </w:r>
      <w:r>
        <w:rPr>
          <w:strike/>
        </w:rPr>
        <w:t xml:space="preserve">affidavit</w:t>
      </w:r>
      <w:r>
        <w:t>))</w:t>
      </w:r>
      <w:r>
        <w:rPr/>
        <w:t xml:space="preserve"> </w:t>
      </w:r>
      <w:r>
        <w:rPr>
          <w:u w:val="single"/>
        </w:rPr>
        <w:t xml:space="preserve">declaration</w:t>
      </w:r>
      <w:r>
        <w:rPr/>
        <w:t xml:space="preserve">, to other parties to the proceedings, who may file opposing </w:t>
      </w:r>
      <w:r>
        <w:t>((</w:t>
      </w:r>
      <w:r>
        <w:rPr>
          <w:strike/>
        </w:rPr>
        <w:t xml:space="preserve">affidavits</w:t>
      </w:r>
      <w:r>
        <w:t>))</w:t>
      </w:r>
      <w:r>
        <w:rPr/>
        <w:t xml:space="preserve"> </w:t>
      </w:r>
      <w:r>
        <w:rPr>
          <w:u w:val="single"/>
        </w:rPr>
        <w:t xml:space="preserve">declarations</w:t>
      </w:r>
      <w:r>
        <w:rPr/>
        <w:t xml:space="preserve">.</w:t>
      </w:r>
    </w:p>
    <w:p>
      <w:pPr>
        <w:spacing w:before="0" w:after="0" w:line="408" w:lineRule="exact"/>
        <w:ind w:left="0" w:right="0" w:firstLine="576"/>
        <w:jc w:val="left"/>
      </w:pPr>
      <w:r>
        <w:rPr/>
        <w:t xml:space="preserve">(2) </w:t>
      </w:r>
      <w:r>
        <w:t>((</w:t>
      </w:r>
      <w:r>
        <w:rPr>
          <w:strike/>
        </w:rPr>
        <w:t xml:space="preserve">The court shall deny the motion unless it finds that adequate cause for hearing the motion is established by the affidavits, in which case it shall set a date for hearing on an order to show cause why the requested order should not be granted.</w:t>
      </w:r>
      <w:r>
        <w:t>))</w:t>
      </w:r>
      <w:r>
        <w:rPr/>
        <w:t xml:space="preserve"> </w:t>
      </w:r>
      <w:r>
        <w:rPr>
          <w:u w:val="single"/>
        </w:rPr>
        <w:t xml:space="preserve">Determination of adequate cause shall be pursuant to an order to show cause. The show cause hearing shall not be set unless the court finds that the declaration or declarations provide a prima facie showing of adequate cause. A mere showing that nonparental custody of the child is in the best interests of the child is insufficient to establish adequate cause. The petition must be dismissed without the prima facie showing. At the show cause hearing all parties are entitled to present a declaration as to why the requested order should or should not be granted. If adequate cause is not established and the order is not granted, the petition must be dismissed.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100</w:t>
      </w:r>
      <w:r>
        <w:rPr/>
        <w:t xml:space="preserve"> and 1987 c 460 s 38 are each amended to read as follows:</w:t>
      </w:r>
    </w:p>
    <w:p>
      <w:pPr>
        <w:spacing w:before="0" w:after="0" w:line="408" w:lineRule="exact"/>
        <w:ind w:left="0" w:right="0" w:firstLine="576"/>
        <w:jc w:val="left"/>
      </w:pPr>
      <w:r>
        <w:t>((</w:t>
      </w:r>
      <w:r>
        <w:rPr>
          <w:strike/>
        </w:rPr>
        <w:t xml:space="preserve">The court shall determine custody in accordance with the best interests of the child</w:t>
      </w:r>
      <w:r>
        <w:t>))</w:t>
      </w:r>
      <w:r>
        <w:rPr/>
        <w:t xml:space="preserve"> </w:t>
      </w:r>
      <w:r>
        <w:rPr>
          <w:u w:val="single"/>
        </w:rPr>
        <w:t xml:space="preserve">A nonparent seeking custody from a parent must prove, by clear, cogent, and convincing evidence, that the child is not in the physical custody of one of its parents and: (1) The parent is unfit; or (2) placement of the child with an otherwise fit parent will result in actual detriment to the child's growth and development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160</w:t>
      </w:r>
      <w:r>
        <w:rPr/>
        <w:t xml:space="preserve"> and 2011 c 89 s 7 are each amended to read as follows:</w:t>
      </w:r>
    </w:p>
    <w:p>
      <w:pPr>
        <w:spacing w:before="0" w:after="0" w:line="408" w:lineRule="exact"/>
        <w:ind w:left="0" w:right="0" w:firstLine="576"/>
        <w:jc w:val="left"/>
      </w:pPr>
      <w:r>
        <w:rPr/>
        <w:t xml:space="preserve">(1) A parent not granted custody of the child is entitled to reasonable visitation rights except as provided in subsection (2) of this section.</w:t>
      </w:r>
    </w:p>
    <w:p>
      <w:pPr>
        <w:spacing w:before="0" w:after="0" w:line="408" w:lineRule="exact"/>
        <w:ind w:left="0" w:right="0" w:firstLine="576"/>
        <w:jc w:val="left"/>
      </w:pPr>
      <w:r>
        <w:rPr/>
        <w:t xml:space="preserve">(2)(a) Visitation with the child shall be limited if it is found that the parent seeking visitation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w:t>
      </w:r>
      <w:r>
        <w:t>((</w:t>
      </w:r>
      <w:r>
        <w:rPr>
          <w:strike/>
        </w:rPr>
        <w:t xml:space="preserve">(1)</w:t>
      </w:r>
      <w:r>
        <w:t>))</w:t>
      </w:r>
      <w:r>
        <w:rPr/>
        <w:t xml:space="preserve"> or an assault or sexual assault which causes grievous bodily harm or the fear of such harm; </w:t>
      </w:r>
      <w:r>
        <w:t>((</w:t>
      </w:r>
      <w:r>
        <w:rPr>
          <w:strike/>
        </w:rPr>
        <w:t xml:space="preserve">or</w:t>
      </w:r>
      <w:r>
        <w:t>))</w:t>
      </w:r>
      <w:r>
        <w:rPr/>
        <w:t xml:space="preserve"> (iv) </w:t>
      </w:r>
      <w:r>
        <w:rPr>
          <w:u w:val="single"/>
        </w:rPr>
        <w:t xml:space="preserve">a long-term emotional or physical impairment which interferes with the parent's performance of parenting functions as defined in RCW 26.09.004; (v) a long-term impairment resulting from drug, alcohol, or other substance abuse that interferes with the performance of parenting functions; (vi) the absence or substantial impairment of emotional ties between the parent and the child; (vii) the abusive use of conflict by the parent which creates the danger of serious damage to the child's psychological development; or (viii)</w:t>
      </w:r>
      <w:r>
        <w:rPr/>
        <w:t xml:space="preserve">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w:t>
      </w:r>
      <w:r>
        <w:t>((</w:t>
      </w:r>
      <w:r>
        <w:rPr>
          <w:strike/>
        </w:rPr>
        <w:t xml:space="preserve">(iv)</w:t>
      </w:r>
      <w:r>
        <w:t>))</w:t>
      </w:r>
      <w:r>
        <w:rPr/>
        <w:t xml:space="preserve"> </w:t>
      </w:r>
      <w:r>
        <w:rPr>
          <w:u w:val="single"/>
        </w:rPr>
        <w:t xml:space="preserve">(viii)</w:t>
      </w:r>
      <w:r>
        <w:rPr/>
        <w:t xml:space="preserve">(A)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w:t>
      </w:r>
      <w:r>
        <w:t>((</w:t>
      </w:r>
      <w:r>
        <w:rPr>
          <w:strike/>
        </w:rPr>
        <w:t xml:space="preserve">(iv)</w:t>
      </w:r>
      <w:r>
        <w:t>))</w:t>
      </w:r>
      <w:r>
        <w:rPr/>
        <w:t xml:space="preserve"> </w:t>
      </w:r>
      <w:r>
        <w:rPr>
          <w:u w:val="single"/>
        </w:rPr>
        <w:t xml:space="preserve">(viii)</w:t>
      </w:r>
      <w:r>
        <w:rPr/>
        <w:t xml:space="preserve">(A)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visitation with the child shall be limited if it is found that the parent resides with a person who has engaged in any of the following conduct: (i) Physical, sexual, or a pattern of emotional abuse of a child; (ii) a history of acts of domestic violence as defined in RCW 26.50.010</w:t>
      </w:r>
      <w:r>
        <w:t>((</w:t>
      </w:r>
      <w:r>
        <w:rPr>
          <w:strike/>
        </w:rPr>
        <w:t xml:space="preserve">(1)</w:t>
      </w:r>
      <w:r>
        <w:t>))</w:t>
      </w:r>
      <w:r>
        <w:rPr/>
        <w:t xml:space="preserve"> or an assault or sexual assault that causes grievous bodily harm or the fear of such harm;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visitation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visitation,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visitation,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visitation,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visitation,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visitation with the child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visitation with the child in the presence of the person adjudicated as a juvenile,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visitation with the child in the presence of the convicted person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visitation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visitation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visitation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visitation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visitation. If the court expressly finds based on the evidence that limitations on visitation with the child will not adequately protect the child from the harm or abuse that could result if the child has contact with the parent requesting visitation, the court shall restrain the person seeking visitation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If the court limits visitation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 (n)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(iii) of this subsection, or if the court expressly finds that the parent's conduct did not have an impact on the child, then the court need not apply the limitations of (a), (b), and (m)(i) and (iii)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w:t>
      </w:r>
      <w:r>
        <w:t>((</w:t>
      </w:r>
      <w:r>
        <w:rPr>
          <w:strike/>
        </w:rPr>
        <w:t xml:space="preserve">Any person may petition the court for visitation rights at any time including, but not limited to, custody proceedings. The court may order visitation rights for any person when visitation may serve the best interest of the child whether or not there has been any change of circumstances.</w:t>
      </w:r>
    </w:p>
    <w:p>
      <w:pPr>
        <w:spacing w:before="0" w:after="0" w:line="408" w:lineRule="exact"/>
        <w:ind w:left="0" w:right="0" w:firstLine="576"/>
        <w:jc w:val="left"/>
      </w:pPr>
      <w:r>
        <w:rPr>
          <w:strike/>
        </w:rPr>
        <w:t xml:space="preserve">(4) The court may modify an order granting or denying visitation rights whenever modification would serve the best interests of the child.</w:t>
      </w:r>
      <w:r>
        <w:t>))</w:t>
      </w:r>
      <w:r>
        <w:rPr/>
        <w:t xml:space="preserve"> Modification of a parent's visitation rights shall be subject to the requirements of subsection (2)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190</w:t>
      </w:r>
      <w:r>
        <w:rPr/>
        <w:t xml:space="preserve"> and 2000 c 21 s 21 are each amended to read as follows:</w:t>
      </w:r>
    </w:p>
    <w:p>
      <w:pPr>
        <w:spacing w:before="0" w:after="0" w:line="408" w:lineRule="exact"/>
        <w:ind w:left="0" w:right="0" w:firstLine="576"/>
        <w:jc w:val="left"/>
      </w:pPr>
      <w:r>
        <w:rPr/>
        <w:t xml:space="preserve">(1) The court shall hear and review petitions </w:t>
      </w:r>
      <w:r>
        <w:t>((</w:t>
      </w:r>
      <w:r>
        <w:rPr>
          <w:strike/>
        </w:rPr>
        <w:t xml:space="preserve">for modifications of a</w:t>
      </w:r>
      <w:r>
        <w:t>))</w:t>
      </w:r>
      <w:r>
        <w:rPr/>
        <w:t xml:space="preserve"> </w:t>
      </w:r>
      <w:r>
        <w:rPr>
          <w:u w:val="single"/>
        </w:rPr>
        <w:t xml:space="preserve">to change a final, nonparent</w:t>
      </w:r>
      <w:r>
        <w:rPr/>
        <w:t xml:space="preserve"> parenting plan, custody order, visitation order, or other order governing the residence of a child</w:t>
      </w:r>
      <w:r>
        <w:rPr>
          <w:u w:val="single"/>
        </w:rPr>
        <w:t xml:space="preserve">, including terminating the order to return the child to the care of the parent</w:t>
      </w:r>
      <w:r>
        <w:rPr/>
        <w:t xml:space="preserve">, and conduct any proceedings concerning a relocation of the residence where the child resides a majority of the time, pursuant to </w:t>
      </w:r>
      <w:r>
        <w:rPr>
          <w:u w:val="single"/>
        </w:rPr>
        <w:t xml:space="preserve">this</w:t>
      </w:r>
      <w:r>
        <w:rPr/>
        <w:t xml:space="preserve"> chapter </w:t>
      </w:r>
      <w:r>
        <w:t>((</w:t>
      </w:r>
      <w:r>
        <w:rPr>
          <w:strike/>
        </w:rPr>
        <w:t xml:space="preserve">26.09 RCW</w:t>
      </w:r>
      <w:r>
        <w:t>))</w:t>
      </w:r>
      <w:r>
        <w:rPr/>
        <w:t xml:space="preserve">.</w:t>
      </w:r>
    </w:p>
    <w:p>
      <w:pPr>
        <w:spacing w:before="0" w:after="0" w:line="408" w:lineRule="exact"/>
        <w:ind w:left="0" w:right="0" w:firstLine="576"/>
        <w:jc w:val="left"/>
      </w:pPr>
      <w:r>
        <w:rPr/>
        <w:t xml:space="preserve">(2) </w:t>
      </w:r>
      <w:r>
        <w:rPr>
          <w:u w:val="single"/>
        </w:rPr>
        <w:t xml:space="preserve">If the order is granted and a parent has a child returned to him or her, the parent may file a petition for entry of a parenting plan under a separate cause number.</w:t>
      </w:r>
    </w:p>
    <w:p>
      <w:pPr>
        <w:spacing w:before="0" w:after="0" w:line="408" w:lineRule="exact"/>
        <w:ind w:left="0" w:right="0" w:firstLine="576"/>
        <w:jc w:val="left"/>
      </w:pPr>
      <w:r>
        <w:rPr>
          <w:u w:val="single"/>
        </w:rPr>
        <w:t xml:space="preserve">(3)</w:t>
      </w:r>
      <w:r>
        <w:rPr/>
        <w:t xml:space="preserve"> If the court finds that a motion to modify </w:t>
      </w:r>
      <w:r>
        <w:rPr>
          <w:u w:val="single"/>
        </w:rPr>
        <w:t xml:space="preserve">or terminate</w:t>
      </w:r>
      <w:r>
        <w:rPr/>
        <w:t xml:space="preserve"> a prior custody </w:t>
      </w:r>
      <w:r>
        <w:t>((</w:t>
      </w:r>
      <w:r>
        <w:rPr>
          <w:strike/>
        </w:rPr>
        <w:t xml:space="preserve">decree</w:t>
      </w:r>
      <w:r>
        <w:t>))</w:t>
      </w:r>
      <w:r>
        <w:rPr/>
        <w:t xml:space="preserve"> </w:t>
      </w:r>
      <w:r>
        <w:rPr>
          <w:u w:val="single"/>
        </w:rPr>
        <w:t xml:space="preserve">order</w:t>
      </w:r>
      <w:r>
        <w:rPr/>
        <w:t xml:space="preserve"> has been brought in bad faith, the court shall assess the attorney's fees and court costs of the custodian against the </w:t>
      </w:r>
      <w:r>
        <w:t>((</w:t>
      </w:r>
      <w:r>
        <w:rPr>
          <w:strike/>
        </w:rPr>
        <w:t xml:space="preserve">petitioner</w:t>
      </w:r>
      <w:r>
        <w:t>))</w:t>
      </w:r>
      <w:r>
        <w:rPr/>
        <w:t xml:space="preserve"> </w:t>
      </w:r>
      <w:r>
        <w:rPr>
          <w:u w:val="single"/>
        </w:rPr>
        <w:t xml:space="preserve">moving party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If the original custody order was entered by default, agreement of the parties, or after trial with no specific findings of the unfitness or actual detriment of the parents, the nonparent custody order must be terminated unless custodians or a nonmoving party demonstrates by clear, cogent, and convincing evidence the current unfitness of the parent or actual detriment to the child.</w:t>
      </w:r>
    </w:p>
    <w:p>
      <w:pPr>
        <w:spacing w:before="0" w:after="0" w:line="408" w:lineRule="exact"/>
        <w:ind w:left="0" w:right="0" w:firstLine="576"/>
        <w:jc w:val="left"/>
      </w:pPr>
      <w:r>
        <w:rPr/>
        <w:t xml:space="preserve">(2) If the original nonparent custody order was entered pursuant to a finding of unfitness or actual detriment, the moving party must demonstrate by a preponderance of evidence a substantial change in his or her circumstances since the entry of the prior order, specifically related to the basis for the custody order and the best interests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court may order adjustments to the residential aspects of a residential schedule upon a showing of a substantial change in circumstances of either parent or of the child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that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residential schedule does not provide reasonable time with the parent with whom the child does not reside a majority of the time and it is in the best interests of the child to increase residential time with the parent in excess of the residential time period in (a) of this subsection.</w:t>
      </w:r>
    </w:p>
    <w:p>
      <w:pPr>
        <w:spacing w:before="0" w:after="0" w:line="408" w:lineRule="exact"/>
        <w:ind w:left="0" w:right="0" w:firstLine="576"/>
        <w:jc w:val="left"/>
      </w:pPr>
      <w:r>
        <w:rPr/>
        <w:t xml:space="preserve">(2) The court may order adjustments to the residential aspects of a parenting plan upon a showing that:</w:t>
      </w:r>
    </w:p>
    <w:p>
      <w:pPr>
        <w:spacing w:before="0" w:after="0" w:line="408" w:lineRule="exact"/>
        <w:ind w:left="0" w:right="0" w:firstLine="576"/>
        <w:jc w:val="left"/>
      </w:pPr>
      <w:r>
        <w:rPr/>
        <w:t xml:space="preserve">(a) The custodians and both parents agree to the modification;</w:t>
      </w:r>
    </w:p>
    <w:p>
      <w:pPr>
        <w:spacing w:before="0" w:after="0" w:line="408" w:lineRule="exact"/>
        <w:ind w:left="0" w:right="0" w:firstLine="576"/>
        <w:jc w:val="left"/>
      </w:pPr>
      <w:r>
        <w:rPr/>
        <w:t xml:space="preserve">(b) The child has been integrated into the family of the moving party with the consent of the custodian and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custodian in contempt of court at least twice within three years because the custodian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The court may order adjustments to the residential aspects of a residential schedule pursuant to a proceeding to permit or restrain the relocation of a child. The person objecting to the relocation of the child or the relocating person's proposed revised residential schedule may file a petition to change the residential schedule. A hearing to determine adequate cause for modification is required so long as the request for relocation of a child is being pursued. In making a determination of a modification pursuant to relocation of a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residential schedule, custody order, or visitation order.</w:t>
      </w:r>
    </w:p>
    <w:p>
      <w:pPr>
        <w:spacing w:before="0" w:after="0" w:line="408" w:lineRule="exact"/>
        <w:ind w:left="0" w:right="0" w:firstLine="576"/>
        <w:jc w:val="left"/>
      </w:pPr>
      <w:r>
        <w:rPr/>
        <w:t xml:space="preserve">(4) A parent with whom the child does not reside a majority of the time and whose residential time with the child is subject to limitations pursuant to RCW 26.10.160 may not seek expansion of residential time unless that parent demonstrates a substantial change in circumstances specifically related to the basis for the limitation.</w:t>
      </w:r>
    </w:p>
    <w:p>
      <w:pPr>
        <w:spacing w:before="0" w:after="0" w:line="408" w:lineRule="exact"/>
        <w:ind w:left="0" w:right="0" w:firstLine="576"/>
        <w:jc w:val="left"/>
      </w:pPr>
      <w:r>
        <w:rPr/>
        <w:t xml:space="preserve">(5) A parent with whom the child does not reside a majority of the time who is required by the existing residential schedule to complete evaluations, treatment, parenting, or other classes may not seek expansion of residential time under of this section unless that parent has fully complied with such requirements.</w:t>
      </w:r>
    </w:p>
    <w:p>
      <w:pPr>
        <w:spacing w:before="0" w:after="0" w:line="408" w:lineRule="exact"/>
        <w:ind w:left="0" w:right="0" w:firstLine="576"/>
        <w:jc w:val="left"/>
      </w:pPr>
      <w:r>
        <w:rPr/>
        <w:t xml:space="preserve">(6) The court may order adjustments to any of the nonresidential aspects of a residential schedule upon a showing of a substantial change of circumstances of a custodian, either parent, or of a child, and that the adjustment is in the best interests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200</w:t>
      </w:r>
      <w:r>
        <w:rPr/>
        <w:t xml:space="preserve"> and 1987 c 460 s 48 are each amended to read as follows:</w:t>
      </w:r>
    </w:p>
    <w:p>
      <w:pPr>
        <w:spacing w:before="0" w:after="0" w:line="408" w:lineRule="exact"/>
        <w:ind w:left="0" w:right="0" w:firstLine="576"/>
        <w:jc w:val="left"/>
      </w:pPr>
      <w:r>
        <w:rPr>
          <w:u w:val="single"/>
        </w:rPr>
        <w:t xml:space="preserve">(1)</w:t>
      </w:r>
      <w:r>
        <w:rPr/>
        <w:t xml:space="preserve"> A party seeking </w:t>
      </w:r>
      <w:r>
        <w:t>((</w:t>
      </w:r>
      <w:r>
        <w:rPr>
          <w:strike/>
        </w:rPr>
        <w:t xml:space="preserve">a temporary custody order or</w:t>
      </w:r>
      <w:r>
        <w:t>))</w:t>
      </w:r>
      <w:r>
        <w:rPr/>
        <w:t xml:space="preserve"> modification </w:t>
      </w:r>
      <w:r>
        <w:rPr>
          <w:u w:val="single"/>
        </w:rPr>
        <w:t xml:space="preserve">or termination</w:t>
      </w:r>
      <w:r>
        <w:rPr/>
        <w:t xml:space="preserve"> of a </w:t>
      </w:r>
      <w:r>
        <w:t>((</w:t>
      </w:r>
      <w:r>
        <w:rPr>
          <w:strike/>
        </w:rPr>
        <w:t xml:space="preserve">custody decree</w:t>
      </w:r>
      <w:r>
        <w:t>))</w:t>
      </w:r>
      <w:r>
        <w:rPr/>
        <w:t xml:space="preserve"> </w:t>
      </w:r>
      <w:r>
        <w:rPr>
          <w:u w:val="single"/>
        </w:rPr>
        <w:t xml:space="preserve">nonparent custody order or residential schedule</w:t>
      </w:r>
      <w:r>
        <w:rPr/>
        <w:t xml:space="preserve"> shall submit together with his or her motion, </w:t>
      </w:r>
      <w:r>
        <w:t>((</w:t>
      </w:r>
      <w:r>
        <w:rPr>
          <w:strike/>
        </w:rPr>
        <w:t xml:space="preserve">an affidavit</w:t>
      </w:r>
      <w:r>
        <w:t>))</w:t>
      </w:r>
      <w:r>
        <w:rPr/>
        <w:t xml:space="preserve"> </w:t>
      </w:r>
      <w:r>
        <w:rPr>
          <w:u w:val="single"/>
        </w:rPr>
        <w:t xml:space="preserve">a declaration</w:t>
      </w:r>
      <w:r>
        <w:rPr/>
        <w:t xml:space="preserve"> setting forth facts supporting the requested order or modification and shall give notice, together with a copy of the </w:t>
      </w:r>
      <w:r>
        <w:t>((</w:t>
      </w:r>
      <w:r>
        <w:rPr>
          <w:strike/>
        </w:rPr>
        <w:t xml:space="preserve">affidavit</w:t>
      </w:r>
      <w:r>
        <w:t>))</w:t>
      </w:r>
      <w:r>
        <w:rPr/>
        <w:t xml:space="preserve"> </w:t>
      </w:r>
      <w:r>
        <w:rPr>
          <w:u w:val="single"/>
        </w:rPr>
        <w:t xml:space="preserve">declaration</w:t>
      </w:r>
      <w:r>
        <w:rPr/>
        <w:t xml:space="preserve">, to other parties to the proceedings, who may file opposing </w:t>
      </w:r>
      <w:r>
        <w:t>((</w:t>
      </w:r>
      <w:r>
        <w:rPr>
          <w:strike/>
        </w:rPr>
        <w:t xml:space="preserve">affidavits</w:t>
      </w:r>
      <w:r>
        <w:t>))</w:t>
      </w:r>
      <w:r>
        <w:rPr/>
        <w:t xml:space="preserve"> </w:t>
      </w:r>
      <w:r>
        <w:rPr>
          <w:u w:val="single"/>
        </w:rPr>
        <w:t xml:space="preserve">declarations</w:t>
      </w:r>
      <w:r>
        <w:rPr/>
        <w:t xml:space="preserve">. The court shall deny the motion unless it finds that adequate cause for hearing the motion is established by the </w:t>
      </w:r>
      <w:r>
        <w:t>((</w:t>
      </w:r>
      <w:r>
        <w:rPr>
          <w:strike/>
        </w:rPr>
        <w:t xml:space="preserve">affidavits</w:t>
      </w:r>
      <w:r>
        <w:t>))</w:t>
      </w:r>
      <w:r>
        <w:rPr/>
        <w:t xml:space="preserve"> </w:t>
      </w:r>
      <w:r>
        <w:rPr>
          <w:u w:val="single"/>
        </w:rPr>
        <w:t xml:space="preserve">declarations, which may include the moving party demonstrating by a preponderance of the evidence a substantial change in circumstances specifically related to the basis for the limitation</w:t>
      </w:r>
      <w:r>
        <w:rPr/>
        <w:t xml:space="preserve">, in which case it shall set a date for hearing on an order to show cause why the requested order or modification should not be granted.</w:t>
      </w:r>
    </w:p>
    <w:p>
      <w:pPr>
        <w:spacing w:before="0" w:after="0" w:line="408" w:lineRule="exact"/>
        <w:ind w:left="0" w:right="0" w:firstLine="576"/>
        <w:jc w:val="left"/>
      </w:pPr>
      <w:r>
        <w:rPr>
          <w:u w:val="single"/>
        </w:rPr>
        <w:t xml:space="preserve">(2) If the original custody order was entered with no specific findings of unfitness or actual detriment of the parties, adequate cause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w:t>
      </w:r>
      <w:r>
        <w:rPr>
          <w:u w:val="single"/>
        </w:rPr>
        <w:t xml:space="preserve">Other than modifications pertaining to a nonparent custody order governed by chapter 26.10 RCW and e</w:t>
      </w:r>
      <w:r>
        <w:rPr/>
        <w:t xml:space="preserve">xcept as otherwise provided in subsections (4), (5), (6), (8), and (10) of this section, the court shall not modify a prior custody </w:t>
      </w:r>
      <w:r>
        <w:t>((</w:t>
      </w:r>
      <w:r>
        <w:rPr>
          <w:strike/>
        </w:rPr>
        <w:t xml:space="preserve">decree</w:t>
      </w:r>
      <w:r>
        <w:t>))</w:t>
      </w:r>
      <w:r>
        <w:rPr/>
        <w:t xml:space="preserve"> </w:t>
      </w:r>
      <w:r>
        <w:rPr>
          <w:u w:val="single"/>
        </w:rPr>
        <w:t xml:space="preserve">order</w:t>
      </w:r>
      <w:r>
        <w:rPr/>
        <w:t xml:space="preserve"> or a parenting plan unless it finds, upon the basis of facts that have arisen since the prior </w:t>
      </w:r>
      <w:r>
        <w:t>((</w:t>
      </w:r>
      <w:r>
        <w:rPr>
          <w:strike/>
        </w:rPr>
        <w:t xml:space="preserve">decree</w:t>
      </w:r>
      <w:r>
        <w:t>))</w:t>
      </w:r>
      <w:r>
        <w:rPr/>
        <w:t xml:space="preserve"> </w:t>
      </w:r>
      <w:r>
        <w:rPr>
          <w:u w:val="single"/>
        </w:rPr>
        <w:t xml:space="preserve">order</w:t>
      </w:r>
      <w:r>
        <w:rPr/>
        <w:t xml:space="preserve"> or plan or that were unknown to the court at the time of the prior </w:t>
      </w:r>
      <w:r>
        <w:t>((</w:t>
      </w:r>
      <w:r>
        <w:rPr>
          <w:strike/>
        </w:rPr>
        <w:t xml:space="preserve">decree</w:t>
      </w:r>
      <w:r>
        <w:t>))</w:t>
      </w:r>
      <w:r>
        <w:rPr/>
        <w:t xml:space="preserve"> </w:t>
      </w:r>
      <w:r>
        <w:rPr>
          <w:u w:val="single"/>
        </w:rPr>
        <w:t xml:space="preserve">order</w:t>
      </w:r>
      <w:r>
        <w:rPr/>
        <w:t xml:space="preserv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w:t>
      </w:r>
      <w:r>
        <w:t>((</w:t>
      </w:r>
      <w:r>
        <w:rPr>
          <w:strike/>
        </w:rPr>
        <w:t xml:space="preserve">decree</w:t>
      </w:r>
      <w:r>
        <w:t>))</w:t>
      </w:r>
      <w:r>
        <w:rPr/>
        <w:t xml:space="preserve"> </w:t>
      </w:r>
      <w:r>
        <w:rPr>
          <w:u w:val="single"/>
        </w:rPr>
        <w:t xml:space="preserve">order</w:t>
      </w:r>
      <w:r>
        <w:rPr/>
        <w:t xml:space="preserve"> or plan.</w:t>
      </w:r>
    </w:p>
    <w:p>
      <w:pPr>
        <w:spacing w:before="0" w:after="0" w:line="408" w:lineRule="exact"/>
        <w:ind w:left="0" w:right="0" w:firstLine="576"/>
        <w:jc w:val="left"/>
      </w:pPr>
      <w:r>
        <w:rPr/>
        <w:t xml:space="preserve">(2) In applying these standards, the court shall retain the residential schedule established by the </w:t>
      </w:r>
      <w:r>
        <w:t>((</w:t>
      </w:r>
      <w:r>
        <w:rPr>
          <w:strike/>
        </w:rPr>
        <w:t xml:space="preserve">decree</w:t>
      </w:r>
      <w:r>
        <w:t>))</w:t>
      </w:r>
      <w:r>
        <w:rPr/>
        <w:t xml:space="preserve"> </w:t>
      </w:r>
      <w:r>
        <w:rPr>
          <w:u w:val="single"/>
        </w:rPr>
        <w:t xml:space="preserve">order</w:t>
      </w:r>
      <w:r>
        <w:rPr/>
        <w:t xml:space="preserv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 without a showing of adequate cause other than the proposed relocation itself. A hearing to determine adequate cause for modification shall not be required so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 A parent with whom the child does not reside a majority of the time and whose residential time with the child is subject to limitations pursuant to RCW 26.09.191 (2) or (3)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The parties shall attempt to resolve disputes regarding delegation of residential time or visitation rights through the dispute resolution process specified in their parenting plan, unless excused by the court for good cause shown. Such a court</w:t>
      </w:r>
      <w:r>
        <w:rPr/>
        <w:noBreakHyphen/>
      </w:r>
      <w:r>
        <w:rPr/>
        <w:t xml:space="preserve">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w:t>
      </w:r>
      <w:r>
        <w:t>((</w:t>
      </w:r>
      <w:r>
        <w:rPr>
          <w:strike/>
        </w:rPr>
        <w:t xml:space="preserve">decree</w:t>
      </w:r>
      <w:r>
        <w:t>))</w:t>
      </w:r>
      <w:r>
        <w:rPr/>
        <w:t xml:space="preserve"> </w:t>
      </w:r>
      <w:r>
        <w:rPr>
          <w:u w:val="single"/>
        </w:rPr>
        <w:t xml:space="preserve">order</w:t>
      </w:r>
      <w:r>
        <w:rPr/>
        <w:t xml:space="preserve"> or parenting plan has been brought in bad faith, the court shall assess the attorney's fees and court costs of the nonmoving parent against the moving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270</w:t>
      </w:r>
      <w:r>
        <w:rPr/>
        <w:t xml:space="preserve"> and 2011 c 336 s 691 are each amended to read as follows:</w:t>
      </w:r>
    </w:p>
    <w:p>
      <w:pPr>
        <w:spacing w:before="0" w:after="0" w:line="408" w:lineRule="exact"/>
        <w:ind w:left="0" w:right="0" w:firstLine="576"/>
        <w:jc w:val="left"/>
      </w:pPr>
      <w:r>
        <w:rPr/>
        <w:t xml:space="preserve">A party seeking a temporary custody order or a temporary parenting plan or modification of a custody </w:t>
      </w:r>
      <w:r>
        <w:t>((</w:t>
      </w:r>
      <w:r>
        <w:rPr>
          <w:strike/>
        </w:rPr>
        <w:t xml:space="preserve">decree</w:t>
      </w:r>
      <w:r>
        <w:t>))</w:t>
      </w:r>
      <w:r>
        <w:rPr/>
        <w:t xml:space="preserve"> </w:t>
      </w:r>
      <w:r>
        <w:rPr>
          <w:u w:val="single"/>
        </w:rPr>
        <w:t xml:space="preserve">order</w:t>
      </w:r>
      <w:r>
        <w:rPr/>
        <w:t xml:space="preserve"> or parenting plan</w:t>
      </w:r>
      <w:r>
        <w:rPr>
          <w:u w:val="single"/>
        </w:rPr>
        <w:t xml:space="preserve">, other than a nonparent custody order,</w:t>
      </w:r>
      <w:r>
        <w:rPr/>
        <w:t xml:space="preserve"> shall submit together with his or her motion, an affidavit setting forth facts supporting the requested order or modification and shall give notice, together with a copy of his or her affidavit, to other parties to the proceedings, who may file opposing affidavits. The court shall deny the motion unless it finds that adequate cause for hearing the motion is established by the affidavits, in which case it shall set a date for hearing on an order to show cause why the requested order or modification should not be granted.</w:t>
      </w:r>
    </w:p>
    <w:p/>
    <w:p>
      <w:pPr>
        <w:jc w:val="center"/>
      </w:pPr>
      <w:r>
        <w:rPr>
          <w:b/>
        </w:rPr>
        <w:t>--- END ---</w:t>
      </w:r>
    </w:p>
    <w:sectPr>
      <w:pgNumType w:start="1"/>
      <w:footerReference xmlns:r="http://schemas.openxmlformats.org/officeDocument/2006/relationships" r:id="R049fd888a0b546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21594ad0694c4c" /><Relationship Type="http://schemas.openxmlformats.org/officeDocument/2006/relationships/footer" Target="/word/footer.xml" Id="R049fd888a0b5460b" /></Relationships>
</file>