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40d40a024b46f3" /></Relationships>
</file>

<file path=word/document.xml><?xml version="1.0" encoding="utf-8"?>
<w:document xmlns:w="http://schemas.openxmlformats.org/wordprocessingml/2006/main">
  <w:body>
    <w:p>
      <w:r>
        <w:t>H-4284.1</w:t>
      </w:r>
    </w:p>
    <w:p>
      <w:pPr>
        <w:jc w:val="center"/>
      </w:pPr>
      <w:r>
        <w:t>_______________________________________________</w:t>
      </w:r>
    </w:p>
    <w:p/>
    <w:p>
      <w:pPr>
        <w:jc w:val="center"/>
      </w:pPr>
      <w:r>
        <w:rPr>
          <w:b/>
        </w:rPr>
        <w:t>SUBSTITUTE HOUSE BILL 1897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Gregerson, Santos, and Stanford)</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fairness and compliance with public works and procurement practices; amending RCW 39.19.020, 39.19.060, 39.19.080, 39.19.090, 39.19.200, 39.19.250, 39.04.155, and 39.12.040; adding a new section to chapter 39.19 RCW; prescribing penalties; and repealing RCW 39.19.100 and 39.19.110.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1996 c 69 s 4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u w:val="single"/>
        </w:rPr>
        <w:t xml:space="preserve">"Contractor" means an individual or entity granted state certification and awarded either a direct contract with an agency or an indirect contract as a subcontractor to perform a service or provide goods.</w:t>
      </w:r>
    </w:p>
    <w:p>
      <w:pPr>
        <w:spacing w:before="0" w:after="0" w:line="408" w:lineRule="exact"/>
        <w:ind w:left="0" w:right="0" w:firstLine="576"/>
        <w:jc w:val="left"/>
      </w:pPr>
      <w:r>
        <w:rPr>
          <w:u w:val="single"/>
        </w:rPr>
        <w:t xml:space="preserve">(4)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"Goals" means annual overall agency goals, expressed as a percentage of dollar volume, for participation by minority and women-owned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1996 c 288 s 28 are each amended to read as follows:</w:t>
      </w:r>
    </w:p>
    <w:p>
      <w:pPr>
        <w:spacing w:before="0" w:after="0" w:line="408" w:lineRule="exact"/>
        <w:ind w:left="0" w:right="0" w:firstLine="576"/>
        <w:jc w:val="left"/>
      </w:pPr>
      <w:r>
        <w:rPr>
          <w:u w:val="single"/>
        </w:rPr>
        <w:t xml:space="preserve">(1)</w:t>
      </w:r>
      <w:r>
        <w:rPr/>
        <w:t xml:space="preserve">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w:t>
      </w:r>
      <w:r>
        <w:t>((</w:t>
      </w:r>
      <w:r>
        <w:rPr>
          <w:strike/>
        </w:rPr>
        <w:t xml:space="preserve">39.29</w:t>
      </w:r>
      <w:r>
        <w:t>))</w:t>
      </w:r>
      <w:r>
        <w:rPr/>
        <w:t xml:space="preserve"> </w:t>
      </w:r>
      <w:r>
        <w:rPr>
          <w:u w:val="single"/>
        </w:rPr>
        <w:t xml:space="preserve">39.26</w:t>
      </w:r>
      <w:r>
        <w:rPr/>
        <w:t xml:space="preserve">, 43.19, and 47.28 RCW.</w:t>
      </w:r>
    </w:p>
    <w:p>
      <w:pPr>
        <w:spacing w:before="0" w:after="0" w:line="408" w:lineRule="exact"/>
        <w:ind w:left="0" w:right="0" w:firstLine="576"/>
        <w:jc w:val="left"/>
      </w:pPr>
      <w:r>
        <w:rPr>
          <w:u w:val="single"/>
        </w:rPr>
        <w:t xml:space="preserve">(2)</w:t>
      </w:r>
      <w:r>
        <w:rPr/>
        <w:t xml:space="preserve"> Each state agency shall adopt a plan, developed in consultation with the director and the advisory committee, to </w:t>
      </w:r>
      <w:r>
        <w:t>((</w:t>
      </w:r>
      <w:r>
        <w:rPr>
          <w:strike/>
        </w:rPr>
        <w:t xml:space="preserve">insure</w:t>
      </w:r>
      <w:r>
        <w:t>))</w:t>
      </w:r>
      <w:r>
        <w:rPr/>
        <w:t xml:space="preserve"> </w:t>
      </w:r>
      <w:r>
        <w:rPr>
          <w:u w:val="single"/>
        </w:rPr>
        <w:t xml:space="preserve">ensure</w:t>
      </w:r>
      <w:r>
        <w:rPr/>
        <w:t xml:space="preserv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u w:val="single"/>
        </w:rPr>
        <w:t xml:space="preserve">(3) 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t>((</w:t>
      </w:r>
      <w:r>
        <w:rPr>
          <w:strike/>
        </w:rPr>
        <w:t xml:space="preserve">(1)</w:t>
      </w:r>
      <w:r>
        <w:t>))</w:t>
      </w:r>
      <w:r>
        <w:rPr/>
        <w:t xml:space="preserve"> A person, firm, corporation, business, union, or other organization shall not: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t>((</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rPr>
          <w:u w:val="single"/>
        </w:rPr>
        <w:t xml:space="preserve">(1)(a)</w:t>
      </w:r>
      <w:r>
        <w:rPr/>
        <w:t xml:space="preserve"> If a person, firm, corporation, or business does not comply with any provision of this chapter </w:t>
      </w:r>
      <w:r>
        <w:t>((</w:t>
      </w:r>
      <w:r>
        <w:rPr>
          <w:strike/>
        </w:rPr>
        <w:t xml:space="preserve">or</w:t>
      </w:r>
      <w:r>
        <w:t>))</w:t>
      </w:r>
      <w:r>
        <w:rPr/>
        <w:t xml:space="preserve"> </w:t>
      </w:r>
      <w:r>
        <w:rPr>
          <w:u w:val="single"/>
        </w:rPr>
        <w:t xml:space="preserve">other than RCW 39.19.080, or does not comply</w:t>
      </w:r>
      <w:r>
        <w:rPr/>
        <w:t xml:space="preserve"> with a contract requirement established under this chapter, the state may </w:t>
      </w:r>
      <w:r>
        <w:t>((</w:t>
      </w:r>
      <w:r>
        <w:rPr>
          <w:strike/>
        </w:rPr>
        <w:t xml:space="preserve">withhold payment, debar the contractor, suspend, or terminate the contract and subject</w:t>
      </w:r>
      <w:r>
        <w:t>))</w:t>
      </w:r>
      <w:r>
        <w:rPr/>
        <w:t xml:space="preserve"> </w:t>
      </w:r>
      <w:r>
        <w:rPr>
          <w:u w:val="single"/>
        </w:rPr>
        <w:t xml:space="preserve">impose one or more of the following penalties: Withholding payment, decertifying the contractor, debarring the contractor, suspending or terminating the contract, or subjecting</w:t>
      </w:r>
      <w:r>
        <w:rPr/>
        <w:t xml:space="preserve"> the contractor to civil penalties of up to ten percent of the amount of the contract or up to five thousand dollars for each violation. </w:t>
      </w:r>
      <w:r>
        <w:t>((</w:t>
      </w:r>
      <w:r>
        <w:rPr>
          <w:strike/>
        </w:rPr>
        <w:t xml:space="preserve">The office shall adopt, by rule, criteria for the imposition of penalties under this section. Wilful</w:t>
      </w:r>
      <w:r>
        <w:t>))</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ten percent of the amount of the contract or between one and five thousand dollars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t>((</w:t>
      </w:r>
      <w:r>
        <w:rPr>
          <w:strike/>
        </w:rPr>
        <w:t xml:space="preserve">may</w:t>
      </w:r>
      <w:r>
        <w:t>))</w:t>
      </w:r>
      <w:r>
        <w:rPr/>
        <w:t xml:space="preserve"> </w:t>
      </w:r>
      <w:r>
        <w:rPr>
          <w:u w:val="single"/>
        </w:rPr>
        <w:t xml:space="preserve">must</w:t>
      </w:r>
      <w:r>
        <w:rPr/>
        <w:t xml:space="preserve"> disqualify the contractor from further participation in state contracts for a period of </w:t>
      </w:r>
      <w:r>
        <w:t>((</w:t>
      </w:r>
      <w:r>
        <w:rPr>
          <w:strike/>
        </w:rPr>
        <w:t xml:space="preserve">up to</w:t>
      </w:r>
      <w:r>
        <w:t>))</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investigation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The director and the investigation unit are authorized to receive criminal history record information that includes nonconviction data for any purpose associated with the investigation of fraud or for violations of this chapter. Dissemination or use of nonconviction data for purposes other than that authorized in this section is prohibited.</w:t>
      </w:r>
    </w:p>
    <w:p>
      <w:pPr>
        <w:spacing w:before="0" w:after="0" w:line="408" w:lineRule="exact"/>
        <w:ind w:left="0" w:right="0" w:firstLine="576"/>
        <w:jc w:val="left"/>
      </w:pPr>
      <w:r>
        <w:rPr>
          <w:u w:val="single"/>
        </w:rPr>
        <w:t xml:space="preserve">(c)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 that the director or the director's designee deems relevant or material to the inquiry.</w:t>
      </w:r>
    </w:p>
    <w:p>
      <w:pPr>
        <w:spacing w:before="0" w:after="0" w:line="408" w:lineRule="exact"/>
        <w:ind w:left="0" w:right="0" w:firstLine="576"/>
        <w:jc w:val="left"/>
      </w:pPr>
      <w:r>
        <w:rPr>
          <w:u w:val="single"/>
        </w:rPr>
        <w:t xml:space="preserve">(d) Subpoenas issued under this section may be enforced under RCW 34.05.588.</w:t>
      </w:r>
    </w:p>
    <w:p>
      <w:pPr>
        <w:spacing w:before="0" w:after="0" w:line="408" w:lineRule="exact"/>
        <w:ind w:left="0" w:right="0" w:firstLine="576"/>
        <w:jc w:val="left"/>
      </w:pPr>
      <w:r>
        <w:rPr>
          <w:u w:val="single"/>
        </w:rPr>
        <w:t xml:space="preserve">(e) The investigation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2009 c 348 s 2 are each amended to read as follows:</w:t>
      </w:r>
    </w:p>
    <w:p>
      <w:pPr>
        <w:spacing w:before="0" w:after="0" w:line="408" w:lineRule="exact"/>
        <w:ind w:left="0" w:right="0" w:firstLine="576"/>
        <w:jc w:val="left"/>
      </w:pPr>
      <w:r>
        <w:rPr/>
        <w:t xml:space="preserve">(1) For the purpose of annual reporting on progress required by </w:t>
      </w:r>
      <w:r>
        <w:t>((</w:t>
      </w:r>
      <w:r>
        <w:rPr>
          <w:strike/>
        </w:rPr>
        <w:t xml:space="preserve">section 1 of this act</w:t>
      </w:r>
      <w:r>
        <w:t>))</w:t>
      </w:r>
      <w:r>
        <w:rPr/>
        <w:t xml:space="preserve"> </w:t>
      </w:r>
      <w:r>
        <w:rPr>
          <w:u w:val="single"/>
        </w:rPr>
        <w:t xml:space="preserve">this chapter</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t>
      </w:r>
      <w:r>
        <w:t>((</w:t>
      </w:r>
      <w:r>
        <w:rPr>
          <w:strike/>
        </w:rPr>
        <w:t xml:space="preserve">that is</w:t>
      </w:r>
      <w:r>
        <w:t>))</w:t>
      </w:r>
      <w:r>
        <w:rPr/>
        <w:t xml:space="preserve"> </w:t>
      </w:r>
      <w:r>
        <w:rPr>
          <w:u w:val="single"/>
        </w:rPr>
        <w:t xml:space="preserve">who are</w:t>
      </w:r>
      <w:r>
        <w:rPr/>
        <w:t xml:space="preserv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2015 c 225 s 33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w:t>
      </w:r>
      <w:r>
        <w:t>((</w:t>
      </w:r>
      <w:r>
        <w:rPr>
          <w:strike/>
        </w:rPr>
        <w:t xml:space="preserve">three</w:t>
      </w:r>
      <w:r>
        <w:t>))</w:t>
      </w:r>
      <w:r>
        <w:rPr/>
        <w:t xml:space="preserve"> </w:t>
      </w:r>
      <w:r>
        <w:rPr>
          <w:u w:val="single"/>
        </w:rPr>
        <w:t xml:space="preserve">five</w:t>
      </w:r>
      <w:r>
        <w:rPr/>
        <w:t xml:space="preserv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enterprise services in implementing this subsection must be included in any rules providing for a small works roster or rosters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w:t>
      </w:r>
      <w:r>
        <w:t>((</w:t>
      </w:r>
      <w:r>
        <w:rPr>
          <w:strike/>
        </w:rPr>
        <w:t xml:space="preserve">may</w:t>
      </w:r>
      <w:r>
        <w:t>))</w:t>
      </w:r>
      <w:r>
        <w:rPr/>
        <w:t xml:space="preserve"> </w:t>
      </w:r>
      <w:r>
        <w:rPr>
          <w:u w:val="single"/>
        </w:rPr>
        <w:t xml:space="preserve">must</w:t>
      </w:r>
      <w:r>
        <w:rPr/>
        <w:t xml:space="preserve">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w:t>
      </w:r>
      <w:r>
        <w:t>((</w:t>
      </w:r>
      <w:r>
        <w:rPr>
          <w:strike/>
        </w:rPr>
        <w:t xml:space="preserve">three</w:t>
      </w:r>
      <w:r>
        <w:t>))</w:t>
      </w:r>
      <w:r>
        <w:rPr/>
        <w:t xml:space="preserve"> </w:t>
      </w:r>
      <w:r>
        <w:rPr>
          <w:u w:val="single"/>
        </w:rPr>
        <w:t xml:space="preserve">five</w:t>
      </w:r>
      <w:r>
        <w:rPr/>
        <w:t xml:space="preserv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w:t>
      </w:r>
      <w:r>
        <w:t>((</w:t>
      </w:r>
      <w:r>
        <w:rPr>
          <w:strike/>
        </w:rPr>
        <w:t xml:space="preserve">telephone inquiry</w:t>
      </w:r>
      <w:r>
        <w:t>))</w:t>
      </w:r>
      <w:r>
        <w:rPr/>
        <w:t xml:space="preserve"> </w:t>
      </w:r>
      <w:r>
        <w:rPr>
          <w:u w:val="single"/>
        </w:rPr>
        <w:t xml:space="preserve">electronic request.</w:t>
      </w:r>
    </w:p>
    <w:p>
      <w:pPr>
        <w:spacing w:before="0" w:after="0" w:line="408" w:lineRule="exact"/>
        <w:ind w:left="0" w:right="0" w:firstLine="576"/>
        <w:jc w:val="left"/>
      </w:pPr>
      <w:r>
        <w:rPr>
          <w:u w:val="single"/>
        </w:rPr>
        <w:t xml:space="preserve">(f) For projects awarded under the small works roster process established under this subsection, a state agency or authorized local government may waive the retainage requirements of RCW 60.28.011(1)(a), thereby assuming the liability for contractor's nonpayment of: (i) Laborers, mechanics, subcontractors, materialpersons, and suppliers; and (ii) taxes, increases, and penalties under Titles 50, 51, and 82 RCW that may be due from the contractor for the project. However, the state agency or local government has the right of recovery against the contractor for any payments made on the contractor's behalf</w:t>
      </w:r>
      <w:r>
        <w:rPr/>
        <w:t xml:space="preserve">. </w:t>
      </w:r>
      <w:r>
        <w:rPr>
          <w:u w:val="single"/>
        </w:rPr>
        <w:t xml:space="preserve">Recovery of unpaid wages and benefits are the first priority for actions filed against the retainage.</w:t>
      </w:r>
    </w:p>
    <w:p>
      <w:pPr>
        <w:spacing w:before="0" w:after="0" w:line="408" w:lineRule="exact"/>
        <w:ind w:left="0" w:right="0" w:firstLine="576"/>
        <w:jc w:val="left"/>
      </w:pPr>
      <w:r>
        <w:rPr/>
        <w:t xml:space="preserve">(3)</w:t>
      </w:r>
      <w:r>
        <w:rPr>
          <w:u w:val="single"/>
        </w:rPr>
        <w:t xml:space="preserve">(a)</w:t>
      </w:r>
      <w:r>
        <w:rPr/>
        <w:t xml:space="preserve"> In lieu of awarding contracts under subsection (2) of this section, a state agency or authorized local government may award a contract for work, construction, alteration, repair, or improvement projects estimated to cost less than </w:t>
      </w:r>
      <w:r>
        <w:t>((</w:t>
      </w:r>
      <w:r>
        <w:rPr>
          <w:strike/>
        </w:rPr>
        <w:t xml:space="preserve">thirty-five</w:t>
      </w:r>
      <w:r>
        <w:t>))</w:t>
      </w:r>
      <w:r>
        <w:rPr/>
        <w:t xml:space="preserve"> </w:t>
      </w:r>
      <w:r>
        <w:rPr>
          <w:u w:val="single"/>
        </w:rPr>
        <w:t xml:space="preserve">one hundred fifty</w:t>
      </w:r>
      <w:r>
        <w:rPr/>
        <w:t xml:space="preser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u w:val="single"/>
        </w:rPr>
        <w:t xml:space="preserve">(b)</w:t>
      </w:r>
      <w:r>
        <w:rPr/>
        <w:t xml:space="preserve"> 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w:t>
      </w:r>
      <w:r>
        <w:t>((</w:t>
      </w:r>
      <w:r>
        <w:rPr>
          <w:strike/>
        </w:rPr>
        <w:t xml:space="preserve">shall attempt to</w:t>
      </w:r>
      <w:r>
        <w:t>))</w:t>
      </w:r>
      <w:r>
        <w:rPr/>
        <w:t xml:space="preserve"> </w:t>
      </w:r>
      <w:r>
        <w:rPr>
          <w:u w:val="single"/>
        </w:rPr>
        <w:t xml:space="preserve">must equitably</w:t>
      </w:r>
      <w:r>
        <w:rPr/>
        <w:t xml:space="preserve"> distribute opportunities for limited public works projects </w:t>
      </w:r>
      <w:r>
        <w:t>((</w:t>
      </w:r>
      <w:r>
        <w:rPr>
          <w:strike/>
        </w:rPr>
        <w:t xml:space="preserve">equitably</w:t>
      </w:r>
      <w:r>
        <w:t>))</w:t>
      </w:r>
      <w:r>
        <w:rPr/>
        <w:t xml:space="preserve">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w:t>
      </w:r>
      <w:r>
        <w:t>((</w:t>
      </w:r>
      <w:r>
        <w:rPr>
          <w:strike/>
        </w:rPr>
        <w:t xml:space="preserve">chapter 60.28</w:t>
      </w:r>
      <w:r>
        <w:t>))</w:t>
      </w:r>
      <w:r>
        <w:rPr/>
        <w:t xml:space="preserve"> RCW </w:t>
      </w:r>
      <w:r>
        <w:rPr>
          <w:u w:val="single"/>
        </w:rPr>
        <w:t xml:space="preserve">60.28.011(1)(a)</w:t>
      </w:r>
      <w:r>
        <w:rPr/>
        <w:t xml:space="preserve">, thereby assuming the liability for the contractor's nonpayment of laborers, mechanics, subcontractors, materialpersons, suppliers, and taxes </w:t>
      </w:r>
      <w:r>
        <w:t>((</w:t>
      </w:r>
      <w:r>
        <w:rPr>
          <w:strike/>
        </w:rPr>
        <w:t xml:space="preserve">imposed under Title</w:t>
      </w:r>
      <w:r>
        <w:t>))</w:t>
      </w:r>
      <w:r>
        <w:rPr>
          <w:u w:val="single"/>
        </w:rPr>
        <w:t xml:space="preserve">, increases, and penalties imposed under Titles 50, 51, and</w:t>
      </w:r>
      <w:r>
        <w:rPr/>
        <w:t xml:space="preserv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w:t>
      </w:r>
      <w:r>
        <w:t>((</w:t>
      </w:r>
      <w:r>
        <w:rPr>
          <w:strike/>
        </w:rPr>
        <w:t xml:space="preserve">(a)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strike/>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strike/>
        </w:rPr>
        <w:t xml:space="preserve">(6) As used in this section,</w:t>
      </w:r>
      <w:r>
        <w:t>))</w:t>
      </w:r>
      <w:r>
        <w:rPr/>
        <w:t xml:space="preserve"> </w:t>
      </w:r>
      <w:r>
        <w:rPr>
          <w:u w:val="single"/>
        </w:rPr>
        <w:t xml:space="preserve">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0" w:after="0" w:line="408" w:lineRule="exact"/>
        <w:ind w:left="0" w:right="0" w:firstLine="576"/>
        <w:jc w:val="left"/>
      </w:pPr>
      <w:r>
        <w:rPr>
          <w:u w:val="single"/>
        </w:rPr>
        <w:t xml:space="preserve">(6) The department of enterprise services shall work with the municipal research and services center to notify local governments authorized to use small works rosters of this authority and to provide guidance on how to use the authority. The guidance may take the form of a manual provided to local governments.</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"Equitably distributes"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0" w:after="0" w:line="408" w:lineRule="exact"/>
        <w:ind w:left="0" w:right="0" w:firstLine="576"/>
        <w:jc w:val="left"/>
      </w:pPr>
      <w:r>
        <w:rPr>
          <w:u w:val="single"/>
        </w:rPr>
        <w:t xml:space="preserve">(8) The joint legislative audit and review committee must review the implementation of the changes to the small works roster and limited public works processes in this section and report to the governor and appropriate committees of the legislature by December 1, 2019. The report must include recommendations for the furtherance of practices set out in this section and identify:</w:t>
      </w:r>
    </w:p>
    <w:p>
      <w:pPr>
        <w:spacing w:before="0" w:after="0" w:line="408" w:lineRule="exact"/>
        <w:ind w:left="0" w:right="0" w:firstLine="576"/>
        <w:jc w:val="left"/>
      </w:pPr>
      <w:r>
        <w:rPr>
          <w:u w:val="single"/>
        </w:rPr>
        <w:t xml:space="preserve">(a) Progress in the rates of participation of certain groups including, qualified minority and women-owned and controlled businesses, minibusinesses, and microbusinesses in the small works roster and limited public works contracting processes; and</w:t>
      </w:r>
    </w:p>
    <w:p>
      <w:pPr>
        <w:spacing w:before="0" w:after="0" w:line="408" w:lineRule="exact"/>
        <w:ind w:left="0" w:right="0" w:firstLine="576"/>
        <w:jc w:val="left"/>
      </w:pPr>
      <w:r>
        <w:rPr>
          <w:u w:val="single"/>
        </w:rPr>
        <w:t xml:space="preserve">(b) Barriers to improving the participation rate of qualified minority and women-owned and controlled businesses and the growth of minibusinesses and microbusinesses in the small works roster and limited public works contracting processes.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w:t>
      </w:r>
      <w:r>
        <w:t>((</w:t>
      </w:r>
      <w:r>
        <w:rPr>
          <w:strike/>
        </w:rPr>
        <w:t xml:space="preserve">pursuant to RCW 60.28.011(1)(b)</w:t>
      </w:r>
      <w:r>
        <w:t>))</w:t>
      </w:r>
      <w:r>
        <w:rPr/>
        <w:t xml:space="preserve">,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RCW 39.04.155(3)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two thousand five hundred dollars for the purpose of circumventing the procedures required by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19</w:t>
      </w:r>
      <w:r>
        <w:rPr/>
        <w:t xml:space="preserve">.</w:t>
      </w:r>
      <w:r>
        <w:t xml:space="preserve">100</w:t>
      </w:r>
      <w:r>
        <w:rPr/>
        <w:t xml:space="preserve"> (Enforcement by attorney general</w:t>
      </w:r>
      <w:r>
        <w:rPr>
          <w:rFonts w:ascii="Times New Roman" w:hAnsi="Times New Roman"/>
        </w:rPr>
        <w:t xml:space="preserve">—</w:t>
      </w:r>
      <w:r>
        <w:rPr/>
        <w:t xml:space="preserve">Injunctive relief) and 1987 c 328 s 12; and</w:t>
      </w:r>
    </w:p>
    <w:p>
      <w:pPr>
        <w:spacing w:before="0" w:after="0" w:line="408" w:lineRule="exact"/>
        <w:ind w:left="0" w:right="0" w:firstLine="576"/>
        <w:jc w:val="left"/>
      </w:pPr>
      <w:r>
        <w:t>(2)</w:t>
      </w:r>
      <w:r>
        <w:rPr/>
        <w:t xml:space="preserve">RCW </w:t>
      </w:r>
      <w:r>
        <w:t xml:space="preserve">39</w:t>
      </w:r>
      <w:r>
        <w:rPr/>
        <w:t xml:space="preserve">.</w:t>
      </w:r>
      <w:r>
        <w:t xml:space="preserve">19</w:t>
      </w:r>
      <w:r>
        <w:rPr/>
        <w:t xml:space="preserve">.</w:t>
      </w:r>
      <w:r>
        <w:t xml:space="preserve">110</w:t>
      </w:r>
      <w:r>
        <w:rPr/>
        <w:t xml:space="preserve"> (Enforcement by attorney general</w:t>
      </w:r>
      <w:r>
        <w:rPr>
          <w:rFonts w:ascii="Times New Roman" w:hAnsi="Times New Roman"/>
        </w:rPr>
        <w:t xml:space="preserve">—</w:t>
      </w:r>
      <w:r>
        <w:rPr/>
        <w:t xml:space="preserve">Investigative powers) and 1987 c 328 s 13.</w:t>
      </w:r>
    </w:p>
    <w:p/>
    <w:p>
      <w:pPr>
        <w:jc w:val="center"/>
      </w:pPr>
      <w:r>
        <w:rPr>
          <w:b/>
        </w:rPr>
        <w:t>--- END ---</w:t>
      </w:r>
    </w:p>
    <w:sectPr>
      <w:pgNumType w:start="1"/>
      <w:footerReference xmlns:r="http://schemas.openxmlformats.org/officeDocument/2006/relationships" r:id="Rb9db711f967e4e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c38d20b59f4e92" /><Relationship Type="http://schemas.openxmlformats.org/officeDocument/2006/relationships/footer" Target="/word/footer.xml" Id="Rb9db711f967e4e80" /></Relationships>
</file>