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1f99a75c741ed" /></Relationships>
</file>

<file path=word/document.xml><?xml version="1.0" encoding="utf-8"?>
<w:document xmlns:w="http://schemas.openxmlformats.org/wordprocessingml/2006/main">
  <w:body>
    <w:p>
      <w:r>
        <w:t>H-3982.2</w:t>
      </w:r>
    </w:p>
    <w:p>
      <w:pPr>
        <w:jc w:val="center"/>
      </w:pPr>
      <w:r>
        <w:t>_______________________________________________</w:t>
      </w:r>
    </w:p>
    <w:p/>
    <w:p>
      <w:pPr>
        <w:jc w:val="center"/>
      </w:pPr>
      <w:r>
        <w:rPr>
          <w:b/>
        </w:rPr>
        <w:t>SUBSTITUTE HOUSE BILL 1558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Kilduff, MacEwen, Sawyer, Hayes, Harris, Griffey, Ormsby, Riccelli, Bergquist, Dolan, Doglio, Lovick, Ryu, Goodman, Peterson, Fitzgibbon, Muri, Stanford, and Fey)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Washington public safety employees' retirement system for employees who provide nursing care to, or ensure the custody and safety of, offender, probationary, and patient populations in institutions and centers; amending RCW 41.37.010; and adding a new section to chapter 41.37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w:t>
      </w:r>
      <w:r>
        <w:t>((</w:t>
      </w:r>
      <w:r>
        <w:rPr>
          <w:strike/>
        </w:rPr>
        <w:t xml:space="preserve">and</w:t>
      </w:r>
      <w:r>
        <w:t>))</w:t>
      </w:r>
      <w:r>
        <w:rPr/>
        <w:t xml:space="preserve"> the Washington state liquor </w:t>
      </w:r>
      <w:r>
        <w:t>((</w:t>
      </w:r>
      <w:r>
        <w:rPr>
          <w:strike/>
        </w:rPr>
        <w:t xml:space="preserve">control</w:t>
      </w:r>
      <w:r>
        <w:t>))</w:t>
      </w:r>
      <w:r>
        <w:rPr/>
        <w:t xml:space="preserve"> </w:t>
      </w:r>
      <w:r>
        <w:rPr>
          <w:u w:val="single"/>
        </w:rPr>
        <w:t xml:space="preserve">and cannabis</w:t>
      </w:r>
      <w:r>
        <w:rPr/>
        <w:t xml:space="preserve"> board</w:t>
      </w:r>
      <w:r>
        <w:rPr>
          <w:u w:val="single"/>
        </w:rPr>
        <w:t xml:space="preserve">, the Washington state department of veterans affairs, and the Washington state department of social and health services</w:t>
      </w:r>
      <w:r>
        <w:rPr/>
        <w:t xml:space="preserve">;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w:t>
      </w:r>
      <w:r>
        <w:t>((</w:t>
      </w:r>
      <w:r>
        <w:rPr>
          <w:strike/>
        </w:rPr>
        <w:t xml:space="preserve">or</w:t>
      </w:r>
      <w:r>
        <w:t>))</w:t>
      </w:r>
    </w:p>
    <w:p>
      <w:pPr>
        <w:spacing w:before="0" w:after="0" w:line="408" w:lineRule="exact"/>
        <w:ind w:left="0" w:right="0" w:firstLine="576"/>
        <w:jc w:val="left"/>
      </w:pPr>
      <w:r>
        <w:rPr/>
        <w:t xml:space="preserve">(d) </w:t>
      </w:r>
      <w:r>
        <w:rPr>
          <w:u w:val="single"/>
        </w:rPr>
        <w:t xml:space="preserve">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w:t>
      </w:r>
    </w:p>
    <w:p>
      <w:pPr>
        <w:spacing w:before="0" w:after="0" w:line="408" w:lineRule="exact"/>
        <w:ind w:left="0" w:right="0" w:firstLine="576"/>
        <w:jc w:val="left"/>
      </w:pPr>
      <w:r>
        <w:rPr>
          <w:u w:val="single"/>
        </w:rPr>
        <w:t xml:space="preserve">(i) Juvenile rehabilitation administration institutions, not including community facilities;</w:t>
      </w:r>
    </w:p>
    <w:p>
      <w:pPr>
        <w:spacing w:before="0" w:after="0" w:line="408" w:lineRule="exact"/>
        <w:ind w:left="0" w:right="0" w:firstLine="576"/>
        <w:jc w:val="left"/>
      </w:pPr>
      <w:r>
        <w:rPr>
          <w:u w:val="single"/>
        </w:rPr>
        <w:t xml:space="preserve">(ii) Mental health hospitals;</w:t>
      </w:r>
    </w:p>
    <w:p>
      <w:pPr>
        <w:spacing w:before="0" w:after="0" w:line="408" w:lineRule="exact"/>
        <w:ind w:left="0" w:right="0" w:firstLine="576"/>
        <w:jc w:val="left"/>
      </w:pPr>
      <w:r>
        <w:rPr>
          <w:u w:val="single"/>
        </w:rPr>
        <w:t xml:space="preserve">(iii) Child study and treatment centers; or</w:t>
      </w:r>
    </w:p>
    <w:p>
      <w:pPr>
        <w:spacing w:before="0" w:after="0" w:line="408" w:lineRule="exact"/>
        <w:ind w:left="0" w:right="0" w:firstLine="576"/>
        <w:jc w:val="left"/>
      </w:pPr>
      <w:r>
        <w:rPr>
          <w:u w:val="single"/>
        </w:rPr>
        <w:t xml:space="preserve">(iv) Institutions or residential sites that serve developmentally disabled patients or offenders, except for state operated living alternatives facilities;</w:t>
      </w:r>
    </w:p>
    <w:p>
      <w:pPr>
        <w:spacing w:before="0" w:after="0" w:line="408" w:lineRule="exact"/>
        <w:ind w:left="0" w:right="0" w:firstLine="576"/>
        <w:jc w:val="left"/>
      </w:pPr>
      <w:r>
        <w:rPr>
          <w:u w:val="single"/>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u w:val="single"/>
        </w:rPr>
        <w:t xml:space="preserve">(f)</w:t>
      </w:r>
      <w:r>
        <w:rPr/>
        <w:t xml:space="preserve">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41.37.010(12) who was a member of the public employees' retirement system plan 2 or plan 3 before January 1, 2019, and on January 1, 2019, meets the eligibility requirements asset forth in RCW 41.37.010(19)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public safety employees' retirement system plan 2 and be a dual member as provided in chapter 41.54 RCW, and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January 1, 2019, and March 1, 2019.</w:t>
      </w:r>
    </w:p>
    <w:p>
      <w:pPr>
        <w:spacing w:before="0" w:after="0" w:line="408" w:lineRule="exact"/>
        <w:ind w:left="0" w:right="0" w:firstLine="576"/>
        <w:jc w:val="left"/>
      </w:pPr>
      <w:r>
        <w:rPr/>
        <w:t xml:space="preserve">(3) During the election period, employees who are employed by an employer as defined in RCW 41.37.010(12) remain members of the public employees' retirement system plan 2 or plan 3 until they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March 1, 2019, the member has not made an election to join the public safety employees' retirement system, he or she will remain in the public employees' retirement system plan 2 or plan 3.</w:t>
      </w:r>
    </w:p>
    <w:p>
      <w:pPr>
        <w:spacing w:before="0" w:after="0" w:line="408" w:lineRule="exact"/>
        <w:ind w:left="0" w:right="0" w:firstLine="576"/>
        <w:jc w:val="left"/>
      </w:pPr>
      <w:r>
        <w:rPr/>
        <w:t xml:space="preserve">(5) An employee who was a member of the public employees' retirement system plan 1 on or before January 1, 2019, and on or after January 1, 2019, is employed by an employer as defined in RCW 41.37.010(12) as an employee who meets the eligibility requirements included in RCW 41.37.010(19), shall remain a member of the public employees' retirement system plan 1.</w:t>
      </w:r>
    </w:p>
    <w:p>
      <w:pPr>
        <w:spacing w:before="0" w:after="0" w:line="408" w:lineRule="exact"/>
        <w:ind w:left="0" w:right="0" w:firstLine="576"/>
        <w:jc w:val="left"/>
      </w:pPr>
      <w:r>
        <w:rPr/>
        <w:t xml:space="preserve">(6) All new employees hired on or after January 1, 2019, who become employed by an employer as defined in RCW 41.37.010(12) as an employee who meets the eligibility requirements included in RCW 41.37.010(19) will become members of the public safety employees' retirement system.</w:t>
      </w:r>
    </w:p>
    <w:p/>
    <w:p>
      <w:pPr>
        <w:jc w:val="center"/>
      </w:pPr>
      <w:r>
        <w:rPr>
          <w:b/>
        </w:rPr>
        <w:t>--- END ---</w:t>
      </w:r>
    </w:p>
    <w:sectPr>
      <w:pgNumType w:start="1"/>
      <w:footerReference xmlns:r="http://schemas.openxmlformats.org/officeDocument/2006/relationships" r:id="R1bf3cd007db74b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95695087f4e3d" /><Relationship Type="http://schemas.openxmlformats.org/officeDocument/2006/relationships/footer" Target="/word/footer.xml" Id="R1bf3cd007db74b21" /></Relationships>
</file>