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a7e4b5ff6f4155" /></Relationships>
</file>

<file path=word/document.xml><?xml version="1.0" encoding="utf-8"?>
<w:document xmlns:w="http://schemas.openxmlformats.org/wordprocessingml/2006/main">
  <w:body>
    <w:p>
      <w:r>
        <w:t>H-1978.1</w:t>
      </w:r>
    </w:p>
    <w:p>
      <w:pPr>
        <w:jc w:val="center"/>
      </w:pPr>
      <w:r>
        <w:t>_______________________________________________</w:t>
      </w:r>
    </w:p>
    <w:p/>
    <w:p>
      <w:pPr>
        <w:jc w:val="center"/>
      </w:pPr>
      <w:r>
        <w:rPr>
          <w:b/>
        </w:rPr>
        <w:t>SUBSTITUTE HOUSE BILL 1514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Robinson, McBride, Pellicciotti, Orwall, Macri, Ormsby, Gregerson, Kloba, Pollet, Appleton, Bergquist, Tharinger, Clibborn, Farrell, and Dolan)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terms for closure or conversion notices for mobile home parks and manufactured housing communities; amending RCW 59.20.060, 59.20.080, 59.21.030, and 59.20.073;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(2)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(3) Manufactured/mobile home tenants have a reasonable expectation of long-term security when they move their home into a community or park. Some tenants have been forced to relocate due to a closure or conversion soon after the tenant has moved into the community or park. The legislature finds that unless a park owner sells the park to resident homeowners or another entity with the purpose of preservation or justly compensates the homeowners for the loss of their homes, a minimum notification period of three years before the closure or conversion of a community or park is a reasonable balancing of the rights and interests of both community and park owners and the manufactured/mobile home owners.</w:t>
      </w:r>
    </w:p>
    <w:p>
      <w:pPr>
        <w:spacing w:before="0" w:after="0" w:line="408" w:lineRule="exact"/>
        <w:ind w:left="0" w:right="0" w:firstLine="576"/>
        <w:jc w:val="left"/>
      </w:pPr>
      <w:r>
        <w:rPr/>
        <w:t xml:space="preserve">(4) Given the effort and expense involved in moving a manufactured/mobile home and the imbalance of economic power in this type of landlord-tenant relationship, it is the intent of the legislature to provide an opportunity for manufactured/mobile home tenants to remain in manufactured housing communities and mobile home parks for at least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w:t>
      </w:r>
      <w:r>
        <w:rPr>
          <w:u w:val="single"/>
        </w:rPr>
        <w:t xml:space="preserve">manufactured/</w:t>
      </w:r>
      <w:r>
        <w:rPr/>
        <w:t xml:space="preserve">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 A rental agreement may, in the alternative, contain</w:t>
      </w:r>
      <w:r>
        <w:t>))</w:t>
      </w:r>
      <w:r>
        <w:rPr/>
        <w:t xml:space="preserve"> </w:t>
      </w:r>
      <w:r>
        <w:rPr>
          <w:u w:val="single"/>
        </w:rPr>
        <w:t xml:space="preserve">A</w:t>
      </w:r>
      <w:r>
        <w:rPr/>
        <w:t xml:space="preserve"> statement that: "The park may be sold or otherwise transferred at any time with the result that subsequent owners may close the mobile home park </w:t>
      </w:r>
      <w:r>
        <w:rPr>
          <w:u w:val="single"/>
        </w:rPr>
        <w:t xml:space="preserve">or manufactured housing community</w:t>
      </w:r>
      <w:r>
        <w:rPr/>
        <w:t xml:space="preserve">, or that the landlord may close the park at any time after the required </w:t>
      </w:r>
      <w:r>
        <w:rPr>
          <w:u w:val="single"/>
        </w:rPr>
        <w:t xml:space="preserve">eighteen-month closure</w:t>
      </w:r>
      <w:r>
        <w:rPr/>
        <w:t xml:space="preserve"> notice </w:t>
      </w:r>
      <w:r>
        <w:rPr>
          <w:u w:val="single"/>
        </w:rPr>
        <w:t xml:space="preserve">as provided in RCW 59.20.080</w:t>
      </w:r>
      <w:r>
        <w:rPr/>
        <w:t xml:space="preserve">." The covenant or statement required by this subsection must: </w:t>
      </w:r>
      <w:r>
        <w:t>((</w:t>
      </w:r>
      <w:r>
        <w:rPr>
          <w:strike/>
        </w:rPr>
        <w:t xml:space="preserve">(A)</w:t>
      </w:r>
      <w:r>
        <w:t>))</w:t>
      </w:r>
      <w:r>
        <w:rPr/>
        <w:t xml:space="preserve"> </w:t>
      </w:r>
      <w:r>
        <w:rPr>
          <w:u w:val="single"/>
        </w:rPr>
        <w:t xml:space="preserve">(i)</w:t>
      </w:r>
      <w:r>
        <w:rPr/>
        <w:t xml:space="preserve"> Appear in print that is in bold 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r>
        <w:t>((</w:t>
      </w:r>
      <w:r>
        <w:rPr>
          <w:strike/>
        </w:rPr>
        <w:t xml:space="preserve">.</w:t>
      </w:r>
      <w:r>
        <w:t>))</w:t>
      </w:r>
      <w:r>
        <w:rPr>
          <w:u w:val="single"/>
        </w:rPr>
        <w:t xml:space="preserve">;</w:t>
      </w:r>
    </w:p>
    <w:p>
      <w:pPr>
        <w:spacing w:before="0" w:after="0" w:line="408" w:lineRule="exact"/>
        <w:ind w:left="0" w:right="0" w:firstLine="576"/>
        <w:jc w:val="left"/>
      </w:pPr>
      <w:r>
        <w:rPr/>
        <w:t xml:space="preserve">(h) </w:t>
      </w:r>
      <w:r>
        <w:rPr>
          <w:u w:val="single"/>
        </w:rPr>
        <w:t xml:space="preserve">A copy of a closure notice, as required in RCW 59.20.080, if such notice is in effect;</w:t>
      </w:r>
    </w:p>
    <w:p>
      <w:pPr>
        <w:spacing w:before="0" w:after="0" w:line="408" w:lineRule="exact"/>
        <w:ind w:left="0" w:right="0" w:firstLine="576"/>
        <w:jc w:val="left"/>
      </w:pPr>
      <w:r>
        <w:rPr>
          <w:u w:val="single"/>
        </w:rPr>
        <w:t xml:space="preserve">(i)</w:t>
      </w:r>
      <w:r>
        <w:rPr/>
        <w:t xml:space="preserve">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listing of the utilities, services, and facilities which will be available to the tenant during the tenancy and the nature of the fees, if any, to be charged;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 written description, picture, plan, or map of the boundaries of a </w:t>
      </w:r>
      <w:r>
        <w:rPr>
          <w:u w:val="single"/>
        </w:rPr>
        <w:t xml:space="preserve">manufactured/</w:t>
      </w:r>
      <w:r>
        <w:rPr/>
        <w:t xml:space="preserve">mobile home space sufficient to inform the tenant of the exact location of the tenant's space in relation to other tenants' spaces;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written description, picture, plan, or map of the location of the tenant's responsibility for utility hook-ups, consistent with RCW 59.20.130(6);</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statement of the current zoning of the land on which the mobile home park </w:t>
      </w:r>
      <w:r>
        <w:rPr>
          <w:u w:val="single"/>
        </w:rPr>
        <w:t xml:space="preserve">or manufactured housing community</w:t>
      </w:r>
      <w:r>
        <w:rPr/>
        <w:t xml:space="preserve"> is located;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statement of the expiration date of any conditional use, temporary use, or other land use permit subject to a fixed expiration date that is necessary for the continued use of the land as a mobile home park.</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one year, or (ii) more frequently than annually if the term is for one year or more: PROVIDED, That a rental agreement may include an escalation clause for a pro rata share of any increase in the mobile home park's </w:t>
      </w:r>
      <w:r>
        <w:rPr>
          <w:u w:val="single"/>
        </w:rPr>
        <w:t xml:space="preserve">or manufactured housing community's</w:t>
      </w:r>
      <w:r>
        <w:rPr/>
        <w:t xml:space="preserve">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one year may provide for annual increases in rent in specified amounts or by a formula specified in such agreement;</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Substantial violation, or repeated or periodic violations, of an enforceable rule of the mobile home park as established by the landlord at the inception of the tenancy or as assumed subsequently with the consent of the tenant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fifteen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five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w:t>
      </w:r>
      <w:r>
        <w:rPr>
          <w:u w:val="single"/>
        </w:rPr>
        <w:t xml:space="preserve">or manufactured housing community</w:t>
      </w:r>
      <w:r>
        <w:rPr/>
        <w:t xml:space="preserve">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w:t>
      </w:r>
      <w:r>
        <w:rPr>
          <w:u w:val="single"/>
        </w:rPr>
        <w:t xml:space="preserve">or manufactured housing community</w:t>
      </w:r>
      <w:r>
        <w:rPr/>
        <w:t xml:space="preserve"> including, but not limited to, conversion to a use other than for mobile homes, manufactured homes, or park models or conversion of the mobile home park </w:t>
      </w:r>
      <w:r>
        <w:rPr>
          <w:u w:val="single"/>
        </w:rPr>
        <w:t xml:space="preserve">or manufactured housing community</w:t>
      </w:r>
      <w:r>
        <w:rPr/>
        <w:t xml:space="preserve">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w:t>
      </w:r>
      <w:r>
        <w:rPr>
          <w:u w:val="single"/>
        </w:rPr>
        <w:t xml:space="preserve">, which may be referred to as a closure notice meeting the requirements of RCW 59.21.030,</w:t>
      </w:r>
      <w:r>
        <w:rPr/>
        <w:t xml:space="preserve"> in advance of the effective date of such change</w:t>
      </w:r>
      <w:r>
        <w:rPr>
          <w:u w:val="single"/>
        </w:rPr>
        <w:t xml:space="preserve">. The eighteen-month closure notice requirement does not apply if:</w:t>
      </w:r>
    </w:p>
    <w:p>
      <w:pPr>
        <w:spacing w:before="0" w:after="0" w:line="408" w:lineRule="exact"/>
        <w:ind w:left="0" w:right="0" w:firstLine="576"/>
        <w:jc w:val="left"/>
      </w:pPr>
      <w:r>
        <w:rPr>
          <w:u w:val="single"/>
        </w:rPr>
        <w:t xml:space="preserve">(i) The mobile home park or manufactured housing community has been acquired for or is under imminent threat of condemnation;</w:t>
      </w:r>
    </w:p>
    <w:p>
      <w:pPr>
        <w:spacing w:before="0" w:after="0" w:line="408" w:lineRule="exact"/>
        <w:ind w:left="0" w:right="0" w:firstLine="576"/>
        <w:jc w:val="left"/>
      </w:pPr>
      <w:r>
        <w:rPr>
          <w:u w:val="single"/>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u w:val="single"/>
        </w:rPr>
        <w:t xml:space="preserve">(iii) The landlord compensates the tenants for the loss of their homes at their assessed value prior to a change of use or sale of the property</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fifteen-day notices within a twelve-month period to comply or vacate for failure to comply with the material terms of the rental agreement or an enforceable park rule.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five-day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2006 c 296 s 1 are each amended to read as follows:</w:t>
      </w:r>
    </w:p>
    <w:p>
      <w:pPr>
        <w:spacing w:before="0" w:after="0" w:line="408" w:lineRule="exact"/>
        <w:ind w:left="0" w:right="0" w:firstLine="576"/>
        <w:jc w:val="left"/>
      </w:pPr>
      <w:r>
        <w:rPr/>
        <w:t xml:space="preserve">(1) </w:t>
      </w:r>
      <w:r>
        <w:rPr>
          <w:u w:val="single"/>
        </w:rPr>
        <w:t xml:space="preserve">The closure n</w:t>
      </w:r>
      <w:r>
        <w:rPr/>
        <w:t xml:space="preserve">otice required by RCW 59.20.080 before park closure or conversion of the park</w:t>
      </w:r>
      <w:r>
        <w:t>((</w:t>
      </w:r>
      <w:r>
        <w:rPr>
          <w:strike/>
        </w:rPr>
        <w:t xml:space="preserve">, whether twelve months or longer,</w:t>
      </w:r>
      <w:r>
        <w:t>))</w:t>
      </w:r>
      <w:r>
        <w:rPr/>
        <w:t xml:space="preserve"> shall be given to the director and all tenants in writing, and posted at all park entrances.</w:t>
      </w:r>
    </w:p>
    <w:p>
      <w:pPr>
        <w:spacing w:before="0" w:after="0" w:line="408" w:lineRule="exact"/>
        <w:ind w:left="0" w:right="0" w:firstLine="576"/>
        <w:jc w:val="left"/>
      </w:pPr>
      <w:r>
        <w:rPr>
          <w:u w:val="single"/>
        </w:rPr>
        <w:t xml:space="preserve">(2) The closure notice required under RCW 59.20.080 must be in substantially the following form:</w:t>
      </w:r>
    </w:p>
    <w:p>
      <w:pPr>
        <w:spacing w:before="120" w:after="0" w:line="408" w:lineRule="exact"/>
        <w:ind w:left="0" w:right="0" w:firstLine="576"/>
        <w:jc w:val="center"/>
      </w:pPr>
      <w:r>
        <w:rPr>
          <w:u w:val="single"/>
        </w:rPr>
        <w:t xml:space="preserve">"CLOSURE NOTICE TO TENANTS</w:t>
      </w:r>
    </w:p>
    <w:p>
      <w:pPr>
        <w:spacing w:before="0" w:after="0" w:line="408" w:lineRule="exact"/>
        <w:ind w:left="0" w:right="0" w:firstLine="576"/>
        <w:jc w:val="left"/>
      </w:pPr>
      <w:r>
        <w:rPr>
          <w:u w:val="single"/>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eighteen months after the date this closure notice is given.</w:t>
      </w:r>
    </w:p>
    <w:p>
      <w:pPr>
        <w:spacing w:before="120" w:after="0" w:line="408" w:lineRule="exact"/>
        <w:ind w:left="0" w:right="0" w:firstLine="0"/>
        <w:jc w:val="left"/>
      </w:pPr>
      <w:r>
        <w:rPr>
          <w:u w:val="single"/>
        </w:rPr>
        <w:t xml:space="preserve">PARK OR COMMUNITY MANAGEMENT OR OWNERSHIP INFORMATION:</w:t>
      </w:r>
    </w:p>
    <w:p>
      <w:pPr>
        <w:spacing w:before="0" w:after="0" w:line="408" w:lineRule="exact"/>
        <w:ind w:left="0" w:right="0" w:firstLine="576"/>
        <w:jc w:val="left"/>
      </w:pPr>
      <w:r>
        <w:rPr>
          <w:u w:val="single"/>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120" w:after="0" w:line="408" w:lineRule="exact"/>
        <w:ind w:left="0" w:right="0" w:firstLine="0"/>
        <w:jc w:val="left"/>
      </w:pPr>
      <w:r>
        <w:rPr>
          <w:u w:val="single"/>
        </w:rPr>
        <w:t xml:space="preserve">PURCHASER INFORMATION, if applicable:</w:t>
      </w:r>
    </w:p>
    <w:p>
      <w:pPr>
        <w:spacing w:before="0" w:after="0" w:line="408" w:lineRule="exact"/>
        <w:ind w:left="0" w:right="0" w:firstLine="576"/>
        <w:jc w:val="left"/>
      </w:pPr>
      <w:r>
        <w:rPr>
          <w:u w:val="single"/>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120" w:after="0" w:line="408" w:lineRule="exact"/>
        <w:ind w:left="0" w:right="0" w:firstLine="0"/>
        <w:jc w:val="left"/>
      </w:pPr>
      <w:r>
        <w:rPr>
          <w:u w:val="single"/>
        </w:rPr>
        <w:t xml:space="preserve">PARK PURCHASE BY TENANT ORGANIZATIONS, if applicable:</w:t>
      </w:r>
    </w:p>
    <w:p>
      <w:pPr>
        <w:spacing w:before="0" w:after="0" w:line="408" w:lineRule="exact"/>
        <w:ind w:left="0" w:right="0" w:firstLine="576"/>
        <w:jc w:val="left"/>
      </w:pPr>
      <w:r>
        <w:rPr>
          <w:u w:val="single"/>
        </w:rPr>
        <w:t xml:space="preserve">The owner of this mobile home park or manufactured housing community is willing to entertain an offer of purchase by an organization or group consisting of park or community tenants or a not-for-profit agency designated by the tenants. Tenants should contact the park owner or park management with such an offer. For assistance in forming an organization to purchase the park or community and for possible financial resources to assist with such a purchase, contact the Office of Mobile/Manufactured Home Relocation Assistance within the Department of Commerce.</w:t>
      </w:r>
    </w:p>
    <w:p>
      <w:pPr>
        <w:spacing w:before="120" w:after="0" w:line="408" w:lineRule="exact"/>
        <w:ind w:left="0" w:right="0" w:firstLine="0"/>
        <w:jc w:val="left"/>
      </w:pPr>
      <w:r>
        <w:rPr>
          <w:u w:val="single"/>
        </w:rPr>
        <w:t xml:space="preserve">RELOCATION ASSISTANCE RESOURCES:</w:t>
      </w:r>
    </w:p>
    <w:p>
      <w:pPr>
        <w:spacing w:before="0" w:after="0" w:line="408" w:lineRule="exact"/>
        <w:ind w:left="0" w:right="0" w:firstLine="576"/>
        <w:jc w:val="left"/>
      </w:pPr>
      <w:r>
        <w:rPr>
          <w:u w:val="single"/>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u w:val="single"/>
        </w:rPr>
        <w:t xml:space="preserve">(3)</w:t>
      </w:r>
      <w:r>
        <w:rPr/>
        <w:t xml:space="preserve"> The </w:t>
      </w:r>
      <w:r>
        <w:rPr>
          <w:u w:val="single"/>
        </w:rPr>
        <w:t xml:space="preserve">closure</w:t>
      </w:r>
      <w:r>
        <w:rPr/>
        <w:t xml:space="preserve"> notice required by RCW 59.20.080 must also meet the following requirements:</w:t>
      </w:r>
    </w:p>
    <w:p>
      <w:pPr>
        <w:spacing w:before="0" w:after="0" w:line="408" w:lineRule="exact"/>
        <w:ind w:left="0" w:right="0" w:firstLine="576"/>
        <w:jc w:val="left"/>
      </w:pPr>
      <w:r>
        <w:rPr/>
        <w:t xml:space="preserve">(a) A copy of the closure notice must be provided with all </w:t>
      </w:r>
      <w:r>
        <w:t>((</w:t>
      </w:r>
      <w:r>
        <w:rPr>
          <w:strike/>
        </w:rPr>
        <w:t xml:space="preserve">month-to-month</w:t>
      </w:r>
      <w:r>
        <w:t>))</w:t>
      </w:r>
      <w:r>
        <w:rPr/>
        <w:t xml:space="preserve"> rental agreements signed after the original park closure notice date </w:t>
      </w:r>
      <w:r>
        <w:rPr>
          <w:u w:val="single"/>
        </w:rPr>
        <w:t xml:space="preserve">as required under RCW 59.20.060</w:t>
      </w:r>
      <w:r>
        <w:rPr/>
        <w:t xml:space="preserve">;</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department must mail every tenant an application and information on relocation assistance within ten business days of receipt of the notice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any closure notice provided by a landlord, as required under RCW 59.20.080, at least seven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landlord shall notify the selling tenant, in writing, of a refusal to permit transfer of the rental agreement at least seven days in advance of such intended transfer.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0138ce557ef49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dd13beda6e417c" /><Relationship Type="http://schemas.openxmlformats.org/officeDocument/2006/relationships/footer" Target="/word/footer.xml" Id="Rb0138ce557ef496e" /></Relationships>
</file>