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e099fa25ad47b8" /></Relationships>
</file>

<file path=word/document.xml><?xml version="1.0" encoding="utf-8"?>
<w:document xmlns:w="http://schemas.openxmlformats.org/wordprocessingml/2006/main">
  <w:body>
    <w:p>
      <w:r>
        <w:t>H-0982.1</w:t>
      </w:r>
    </w:p>
    <w:p>
      <w:pPr>
        <w:jc w:val="center"/>
      </w:pPr>
      <w:r>
        <w:t>_______________________________________________</w:t>
      </w:r>
    </w:p>
    <w:p/>
    <w:p>
      <w:pPr>
        <w:jc w:val="center"/>
      </w:pPr>
      <w:r>
        <w:rPr>
          <w:b/>
        </w:rPr>
        <w:t>HOUSE BILL 1509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Stonier, Harris, Dolan, Caldier, Ormsby, Volz, Stanford, McCaslin, Riccelli, Holy, Pollet, Taylor, Doglio, Shea, Sawyer, Peterson, Gregerson, Sells, Tharinger, Farrell, Orcutt, and Santos</w:t>
      </w:r>
    </w:p>
    <w:p/>
    <w:p>
      <w:r>
        <w:rPr>
          <w:t xml:space="preserve">Read first time 01/23/17.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credit requirements for high school graduation; and amending RCW 28A.150.220 and 28A.230.090.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220</w:t>
      </w:r>
      <w:r>
        <w:rPr/>
        <w:t xml:space="preserve"> and 2014 c 217 s 201 are each amended to read as follows:</w:t>
      </w:r>
    </w:p>
    <w:p>
      <w:pPr>
        <w:spacing w:before="0" w:after="0" w:line="408" w:lineRule="exact"/>
        <w:ind w:left="0" w:right="0" w:firstLine="576"/>
        <w:jc w:val="left"/>
      </w:pPr>
      <w:r>
        <w:rPr/>
        <w:t xml:space="preserve">(1) In order for students to have the opportunity to develop the basic education knowledge and skills under RCW 28A.150.210, school districts must provide instruction of sufficient quantity and quality and give students the opportunity to complete graduation requirements that are intended to prepare them for postsecondary education, gainful employment, and citizenship. The program established under this section shall be the minimum instructional program of basic education offered by school districts.</w:t>
      </w:r>
    </w:p>
    <w:p>
      <w:pPr>
        <w:spacing w:before="0" w:after="0" w:line="408" w:lineRule="exact"/>
        <w:ind w:left="0" w:right="0" w:firstLine="576"/>
        <w:jc w:val="left"/>
      </w:pPr>
      <w:r>
        <w:rPr/>
        <w:t xml:space="preserve">(2) Each school district shall make available to students the following minimum instructional offering each school year:</w:t>
      </w:r>
    </w:p>
    <w:p>
      <w:pPr>
        <w:spacing w:before="0" w:after="0" w:line="408" w:lineRule="exact"/>
        <w:ind w:left="0" w:right="0" w:firstLine="576"/>
        <w:jc w:val="left"/>
      </w:pPr>
      <w:r>
        <w:rPr/>
        <w:t xml:space="preserve">(a) For students enrolled in grades one through twelve, at least a district-wide annual average of one thousand hours, which shall be increased beginning in the 2015-16 school year to at least one thousand eighty instructional hours for students enrolled in grades nine through twelve and at least one thousand instructional hours for students in grades one through eight, all of which may be calculated by a school district using a district-wide annual average of instructional hours over grades one through twelve; and</w:t>
      </w:r>
    </w:p>
    <w:p>
      <w:pPr>
        <w:spacing w:before="0" w:after="0" w:line="408" w:lineRule="exact"/>
        <w:ind w:left="0" w:right="0" w:firstLine="576"/>
        <w:jc w:val="left"/>
      </w:pPr>
      <w:r>
        <w:rPr/>
        <w:t xml:space="preserve">(b) For students enrolled in kindergarten, at least four hundred fifty instructional hours, which shall be increased to at least one thousand instructional hours according to the implementation schedule under RCW 28A.150.315.</w:t>
      </w:r>
    </w:p>
    <w:p>
      <w:pPr>
        <w:spacing w:before="0" w:after="0" w:line="408" w:lineRule="exact"/>
        <w:ind w:left="0" w:right="0" w:firstLine="576"/>
        <w:jc w:val="left"/>
      </w:pPr>
      <w:r>
        <w:rPr/>
        <w:t xml:space="preserve">(3) The instructional program of basic education provided by each school district shall include:</w:t>
      </w:r>
    </w:p>
    <w:p>
      <w:pPr>
        <w:spacing w:before="0" w:after="0" w:line="408" w:lineRule="exact"/>
        <w:ind w:left="0" w:right="0" w:firstLine="576"/>
        <w:jc w:val="left"/>
      </w:pPr>
      <w:r>
        <w:rPr/>
        <w:t xml:space="preserve">(a) Instruction in the essential academic learning requirements under RCW 28A.655.070;</w:t>
      </w:r>
    </w:p>
    <w:p>
      <w:pPr>
        <w:spacing w:before="0" w:after="0" w:line="408" w:lineRule="exact"/>
        <w:ind w:left="0" w:right="0" w:firstLine="576"/>
        <w:jc w:val="left"/>
      </w:pPr>
      <w:r>
        <w:rPr/>
        <w:t xml:space="preserve">(b) Instruction that provides students the opportunity to complete </w:t>
      </w:r>
      <w:r>
        <w:t>((</w:t>
      </w:r>
      <w:r>
        <w:rPr>
          <w:strike/>
        </w:rPr>
        <w:t xml:space="preserve">twenty-four</w:t>
      </w:r>
      <w:r>
        <w:t>))</w:t>
      </w:r>
      <w:r>
        <w:rPr/>
        <w:t xml:space="preserve"> </w:t>
      </w:r>
      <w:r>
        <w:rPr>
          <w:u w:val="single"/>
        </w:rPr>
        <w:t xml:space="preserve">all</w:t>
      </w:r>
      <w:r>
        <w:rPr/>
        <w:t xml:space="preserve"> credits </w:t>
      </w:r>
      <w:r>
        <w:rPr>
          <w:u w:val="single"/>
        </w:rPr>
        <w:t xml:space="preserve">required</w:t>
      </w:r>
      <w:r>
        <w:rPr/>
        <w:t xml:space="preserve"> for high school graduation</w:t>
      </w:r>
      <w:r>
        <w:t>((</w:t>
      </w:r>
      <w:r>
        <w:rPr>
          <w:strike/>
        </w:rPr>
        <w:t xml:space="preserve">, beginning with the graduating class of 2019 or as otherwise provided in RCW 28A.230.090. Course distribution requirements may be established by the state board of education under RCW 28A.230.090</w:t>
      </w:r>
      <w:r>
        <w:t>))</w:t>
      </w:r>
      <w:r>
        <w:rPr/>
        <w:t xml:space="preserve">;</w:t>
      </w:r>
    </w:p>
    <w:p>
      <w:pPr>
        <w:spacing w:before="0" w:after="0" w:line="408" w:lineRule="exact"/>
        <w:ind w:left="0" w:right="0" w:firstLine="576"/>
        <w:jc w:val="left"/>
      </w:pPr>
      <w:r>
        <w:rPr/>
        <w:t xml:space="preserve">(c) If the essential academic learning requirements include a requirement of languages other than English, the requirement may be met by students receiving instruction in one or more American Indian languages;</w:t>
      </w:r>
    </w:p>
    <w:p>
      <w:pPr>
        <w:spacing w:before="0" w:after="0" w:line="408" w:lineRule="exact"/>
        <w:ind w:left="0" w:right="0" w:firstLine="576"/>
        <w:jc w:val="left"/>
      </w:pPr>
      <w:r>
        <w:rPr/>
        <w:t xml:space="preserve">(d)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(e)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(f) The opportunity for an appropriate education at public expense as defined by RCW 28A.155.020 for all eligible students with disabilities as defined in RCW 28A.155.020; and</w:t>
      </w:r>
    </w:p>
    <w:p>
      <w:pPr>
        <w:spacing w:before="0" w:after="0" w:line="408" w:lineRule="exact"/>
        <w:ind w:left="0" w:right="0" w:firstLine="576"/>
        <w:jc w:val="left"/>
      </w:pPr>
      <w:r>
        <w:rPr/>
        <w:t xml:space="preserve">(g) Programs for highly capable students under RCW 28A.185.010 through 28A.185.030.</w:t>
      </w:r>
    </w:p>
    <w:p>
      <w:pPr>
        <w:spacing w:before="0" w:after="0" w:line="408" w:lineRule="exact"/>
        <w:ind w:left="0" w:right="0" w:firstLine="576"/>
        <w:jc w:val="left"/>
      </w:pPr>
      <w:r>
        <w:rPr/>
        <w:t xml:space="preserve">(4) Nothing contained in this section shall be construed to require individual students to attend school for any particular number of hours per day or to take any particular courses.</w:t>
      </w:r>
    </w:p>
    <w:p>
      <w:pPr>
        <w:spacing w:before="0" w:after="0" w:line="408" w:lineRule="exact"/>
        <w:ind w:left="0" w:right="0" w:firstLine="576"/>
        <w:jc w:val="left"/>
      </w:pPr>
      <w:r>
        <w:rPr/>
        <w:t xml:space="preserve">(5)(a) Each school district's kindergarten through twelfth grade basic educational program shall be accessible to all students who are five years of age, as provided by RCW 28A.225.160, and less than twenty-one years of age and shall consist of a minimum of one hundred eighty school days per school year in such grades as are conducted by a school district, and one hundred eighty half-days of instruction, or equivalent, in kindergarten, to be increased to a minimum of one hundred eighty school days per school year according to the implementation schedule under RCW 28A.150.315. </w:t>
      </w:r>
    </w:p>
    <w:p>
      <w:pPr>
        <w:spacing w:before="0" w:after="0" w:line="408" w:lineRule="exact"/>
        <w:ind w:left="0" w:right="0" w:firstLine="576"/>
        <w:jc w:val="left"/>
      </w:pPr>
      <w:r>
        <w:rPr/>
        <w:t xml:space="preserve">(b) Schools administering the Washington kindergarten inventory of developing skills may use up to three school days at the beginning of the school year to meet with parents and families as required in the parent involvement component of the inventory. </w:t>
      </w:r>
    </w:p>
    <w:p>
      <w:pPr>
        <w:spacing w:before="0" w:after="0" w:line="408" w:lineRule="exact"/>
        <w:ind w:left="0" w:right="0" w:firstLine="576"/>
        <w:jc w:val="left"/>
      </w:pPr>
      <w:r>
        <w:rPr/>
        <w:t xml:space="preserve">(c) In the case of students who are graduating from high school, a school district may schedule the last five school days of the one hundred eighty day school year for noninstructional purposes including, but not limited to, the observance of graduation and early release from school upon the request of a student. All such students may be claimed as a full</w:t>
      </w:r>
      <w:r>
        <w:rPr/>
        <w:noBreakHyphen/>
      </w:r>
      <w:r>
        <w:rPr/>
        <w:t xml:space="preserve">time equivalent student to the extent they could otherwise have been so claimed for the purposes of RCW 28A.150.250 and 28A.150.260. Any hours scheduled by a school district for noninstructional purposes during the last five school days for such students shall count toward the instructional hours requirement in subsection (2)(a) of this section.</w:t>
      </w:r>
    </w:p>
    <w:p>
      <w:pPr>
        <w:spacing w:before="0" w:after="0" w:line="408" w:lineRule="exact"/>
        <w:ind w:left="0" w:right="0" w:firstLine="576"/>
        <w:jc w:val="left"/>
      </w:pPr>
      <w:r>
        <w:rPr/>
        <w:t xml:space="preserve">(6) Nothing in this section precludes a school district from enriching the instructional program of basic education, such as offering additional instruction or providing additional services, programs, or activities that the school district determines to be appropriate for the education of the school district's students.</w:t>
      </w:r>
    </w:p>
    <w:p>
      <w:pPr>
        <w:spacing w:before="0" w:after="0" w:line="408" w:lineRule="exact"/>
        <w:ind w:left="0" w:right="0" w:firstLine="576"/>
        <w:jc w:val="left"/>
      </w:pPr>
      <w:r>
        <w:rPr/>
        <w:t xml:space="preserve">(7) The state board of education shall adopt rules to implement and ensure compliance with the program requirements imposed by this section, RCW 28A.150.250 and 28A.150.260, and such related supplemental program approval requirements as the state board may establish.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162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w:t>
      </w:r>
      <w:r>
        <w:t>((</w:t>
      </w:r>
      <w:r>
        <w:rPr>
          <w:strike/>
        </w:rPr>
        <w:t xml:space="preserve">also</w:t>
      </w:r>
      <w:r>
        <w:t>))</w:t>
      </w:r>
      <w:r>
        <w:rPr/>
        <w:t xml:space="preserve"> provide that the content of the third credit of mathematics </w:t>
      </w:r>
      <w:r>
        <w:t>((</w:t>
      </w:r>
      <w:r>
        <w:rPr>
          <w:strike/>
        </w:rPr>
        <w:t xml:space="preserve">and the content of the third credit of science</w:t>
      </w:r>
      <w:r>
        <w:t>))</w:t>
      </w:r>
      <w:r>
        <w:rPr/>
        <w:t xml:space="preserve"> may be chosen by the student based on the student's interests and high school and beyond plan with agreement of the student's parent or guardian or agreement of the school counselor or principal. </w:t>
      </w:r>
      <w:r>
        <w:rPr>
          <w:u w:val="single"/>
        </w:rPr>
        <w:t xml:space="preserve">The rules must also provide that the subject credit requirements be as follows:</w:t>
      </w:r>
    </w:p>
    <w:tbl>
      <w:tblPr>
        <w:tblW w:w="0" w:type="auto"/>
        <w:jc w:val="center"/>
        <w:tcMar>
          <w:tblCellMar>
            <w:top w:w="0" w:type="dxa"/>
          </w:tblCellMar>
        </w:tcMar>
        <w:tcMar>
          <w:tblCellMar>
            <w:left w:w="70" w:type="dxa"/>
            <w:right w:w="70" w:type="dxa"/>
          </w:tblCellMar>
        </w:tcMar>
      </w:tblPr>
      <w:tblGrid>
        <w:gridCol w:w="2715"/>
        <w:gridCol w:w="2145"/>
      </w:tblGrid>
      <w:tr>
        <w:tc>
          <w:tcPr>
            <w:tcW w:w="2715" w:type="dxa"/>
            <w:vAlign w:val="top"/>
          </w:tcPr>
          <w:p>
            <w:pPr>
              <w:spacing w:before="0" w:after="0" w:line="408" w:lineRule="exact"/>
              <w:ind w:left="0" w:right="0" w:firstLine="0"/>
              <w:jc w:val="left"/>
            </w:pPr>
            <w:r>
              <w:rPr>
                <w:rFonts w:ascii="Times New Roman" w:hAnsi="Times New Roman"/>
                <w:sz w:val="20"/>
                <w:u w:val="single"/>
              </w:rPr>
              <w:t xml:space="preserve">Courses</w:t>
            </w:r>
          </w:p>
        </w:tc>
        <w:tc>
          <w:tcPr>
            <w:tcW w:w="2145" w:type="dxa"/>
            <w:vAlign w:val="top"/>
          </w:tcPr>
          <w:p>
            <w:pPr>
              <w:spacing w:before="0" w:after="0" w:line="408" w:lineRule="exact"/>
              <w:ind w:left="0" w:right="0" w:firstLine="0"/>
              <w:jc w:val="left"/>
            </w:pPr>
            <w:r>
              <w:rPr>
                <w:rFonts w:ascii="Times New Roman" w:hAnsi="Times New Roman"/>
                <w:sz w:val="20"/>
                <w:u w:val="single"/>
              </w:rPr>
              <w:t xml:space="preserve">Required credits</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English</w:t>
            </w:r>
          </w:p>
        </w:tc>
        <w:tc>
          <w:tcPr>
            <w:tcW w:w="2145" w:type="dxa"/>
            <w:vAlign w:val="top"/>
          </w:tcPr>
          <w:p>
            <w:pPr>
              <w:spacing w:before="0" w:after="0" w:line="408" w:lineRule="exact"/>
              <w:ind w:left="0" w:right="0" w:firstLine="0"/>
              <w:jc w:val="center"/>
            </w:pPr>
            <w:r>
              <w:rPr>
                <w:rFonts w:ascii="Times New Roman" w:hAnsi="Times New Roman"/>
                <w:sz w:val="20"/>
                <w:u w:val="single"/>
              </w:rPr>
              <w:t xml:space="preserve">3</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Mathematics</w:t>
            </w:r>
          </w:p>
        </w:tc>
        <w:tc>
          <w:tcPr>
            <w:tcW w:w="2145" w:type="dxa"/>
            <w:vAlign w:val="top"/>
          </w:tcPr>
          <w:p>
            <w:pPr>
              <w:spacing w:before="0" w:after="0" w:line="408" w:lineRule="exact"/>
              <w:ind w:left="0" w:right="0" w:firstLine="0"/>
              <w:jc w:val="center"/>
            </w:pPr>
            <w:r>
              <w:rPr>
                <w:rFonts w:ascii="Times New Roman" w:hAnsi="Times New Roman"/>
                <w:sz w:val="20"/>
                <w:u w:val="single"/>
              </w:rPr>
              <w:t xml:space="preserve">3</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Science</w:t>
            </w:r>
          </w:p>
        </w:tc>
        <w:tc>
          <w:tcPr>
            <w:tcW w:w="2145" w:type="dxa"/>
            <w:vAlign w:val="top"/>
          </w:tcPr>
          <w:p>
            <w:pPr>
              <w:spacing w:before="0" w:after="0" w:line="408" w:lineRule="exact"/>
              <w:ind w:left="0" w:right="0" w:firstLine="0"/>
              <w:jc w:val="center"/>
            </w:pPr>
            <w:r>
              <w:rPr>
                <w:rFonts w:ascii="Times New Roman" w:hAnsi="Times New Roman"/>
                <w:sz w:val="20"/>
                <w:u w:val="single"/>
              </w:rPr>
              <w:t xml:space="preserve">2</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Social studies</w:t>
            </w:r>
          </w:p>
        </w:tc>
        <w:tc>
          <w:tcPr>
            <w:tcW w:w="2145" w:type="dxa"/>
            <w:vAlign w:val="top"/>
          </w:tcPr>
          <w:p>
            <w:pPr>
              <w:spacing w:before="0" w:after="0" w:line="408" w:lineRule="exact"/>
              <w:ind w:left="0" w:right="0" w:firstLine="0"/>
              <w:jc w:val="center"/>
            </w:pPr>
            <w:r>
              <w:rPr>
                <w:rFonts w:ascii="Times New Roman" w:hAnsi="Times New Roman"/>
                <w:sz w:val="20"/>
                <w:u w:val="single"/>
              </w:rPr>
              <w:t xml:space="preserve">3</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Arts</w:t>
            </w:r>
          </w:p>
        </w:tc>
        <w:tc>
          <w:tcPr>
            <w:tcW w:w="2145" w:type="dxa"/>
            <w:vAlign w:val="top"/>
          </w:tcPr>
          <w:p>
            <w:pPr>
              <w:spacing w:before="0" w:after="0" w:line="408" w:lineRule="exact"/>
              <w:ind w:left="0" w:right="0" w:firstLine="0"/>
              <w:jc w:val="center"/>
            </w:pPr>
            <w:r>
              <w:rPr>
                <w:rFonts w:ascii="Times New Roman" w:hAnsi="Times New Roman"/>
                <w:sz w:val="20"/>
                <w:u w:val="single"/>
              </w:rPr>
              <w:t xml:space="preserve">1</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Health and fitness</w:t>
            </w:r>
          </w:p>
        </w:tc>
        <w:tc>
          <w:tcPr>
            <w:tcW w:w="2145" w:type="dxa"/>
            <w:vAlign w:val="top"/>
          </w:tcPr>
          <w:p>
            <w:pPr>
              <w:spacing w:before="0" w:after="0" w:line="408" w:lineRule="exact"/>
              <w:ind w:left="0" w:right="0" w:firstLine="0"/>
              <w:jc w:val="center"/>
            </w:pPr>
            <w:r>
              <w:rPr>
                <w:rFonts w:ascii="Times New Roman" w:hAnsi="Times New Roman"/>
                <w:sz w:val="20"/>
                <w:u w:val="single"/>
              </w:rPr>
              <w:t xml:space="preserve">2</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Career and technical education</w:t>
            </w:r>
          </w:p>
        </w:tc>
        <w:tc>
          <w:tcPr>
            <w:tcW w:w="2145" w:type="dxa"/>
            <w:vAlign w:val="top"/>
          </w:tcPr>
          <w:p>
            <w:pPr>
              <w:spacing w:before="0" w:after="0" w:line="408" w:lineRule="exact"/>
              <w:ind w:left="0" w:right="0" w:firstLine="0"/>
              <w:jc w:val="center"/>
            </w:pPr>
            <w:r>
              <w:rPr>
                <w:rFonts w:ascii="Times New Roman" w:hAnsi="Times New Roman"/>
                <w:sz w:val="20"/>
                <w:u w:val="single"/>
              </w:rPr>
              <w:t xml:space="preserve">1</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Electives</w:t>
            </w:r>
          </w:p>
        </w:tc>
        <w:tc>
          <w:tcPr>
            <w:tcW w:w="2145" w:type="dxa"/>
            <w:vAlign w:val="top"/>
          </w:tcPr>
          <w:p>
            <w:pPr>
              <w:spacing w:before="0" w:after="0" w:line="408" w:lineRule="exact"/>
              <w:ind w:left="0" w:right="0" w:firstLine="0"/>
              <w:jc w:val="center"/>
            </w:pPr>
            <w:r>
              <w:rPr>
                <w:rFonts w:ascii="Times New Roman" w:hAnsi="Times New Roman"/>
                <w:sz w:val="20"/>
                <w:u w:val="single"/>
              </w:rPr>
              <w:t xml:space="preserve">4</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World languages or personalized pathway requirements</w:t>
            </w:r>
          </w:p>
        </w:tc>
        <w:tc>
          <w:tcPr>
            <w:tcW w:w="2145" w:type="dxa"/>
            <w:vAlign w:val="bottom"/>
          </w:tcPr>
          <w:p>
            <w:pPr>
              <w:spacing w:before="0" w:after="0" w:line="408" w:lineRule="exact"/>
              <w:ind w:left="0" w:right="0" w:firstLine="0"/>
              <w:jc w:val="center"/>
            </w:pPr>
            <w:r>
              <w:rPr>
                <w:rFonts w:ascii="Times New Roman" w:hAnsi="Times New Roman"/>
                <w:sz w:val="20"/>
                <w:u w:val="single"/>
              </w:rPr>
              <w:t xml:space="preserve">2</w:t>
            </w:r>
          </w:p>
        </w:tc>
      </w:tr>
      <w:tr>
        <w:tc>
          <w:tcPr>
            <w:tcW w:w="2715" w:type="dxa"/>
            <w:vAlign w:val="top"/>
          </w:tcPr>
          <w:p>
            <w:pPr>
              <w:spacing w:before="0" w:after="0" w:line="408" w:lineRule="exact"/>
              <w:ind w:left="0" w:right="0" w:firstLine="0"/>
              <w:jc w:val="left"/>
            </w:pPr>
            <w:r>
              <w:rPr>
                <w:rFonts w:ascii="Times New Roman" w:hAnsi="Times New Roman"/>
                <w:sz w:val="20"/>
                <w:u w:val="single"/>
              </w:rPr>
              <w:t xml:space="preserve">Total required credits:</w:t>
            </w:r>
          </w:p>
        </w:tc>
        <w:tc>
          <w:tcPr>
            <w:tcW w:w="2145" w:type="dxa"/>
            <w:vAlign w:val="top"/>
          </w:tcPr>
          <w:p>
            <w:pPr>
              <w:spacing w:before="0" w:after="0" w:line="408" w:lineRule="exact"/>
              <w:ind w:left="0" w:right="0" w:firstLine="0"/>
              <w:jc w:val="center"/>
            </w:pPr>
            <w:r>
              <w:rPr>
                <w:rFonts w:ascii="Times New Roman" w:hAnsi="Times New Roman"/>
                <w:sz w:val="20"/>
                <w:u w:val="single"/>
              </w:rPr>
              <w:t xml:space="preserve">21</w:t>
            </w:r>
          </w:p>
        </w:tc>
      </w:tr>
    </w:tbl>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
      <w:pPr>
        <w:jc w:val="center"/>
      </w:pPr>
      <w:r>
        <w:rPr>
          <w:b/>
        </w:rPr>
        <w:t>--- END ---</w:t>
      </w:r>
    </w:p>
    <w:sectPr>
      <w:pgNumType w:start="1"/>
      <w:footerReference xmlns:r="http://schemas.openxmlformats.org/officeDocument/2006/relationships" r:id="R2fd4033ac87643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571de7d3ee4e4b" /><Relationship Type="http://schemas.openxmlformats.org/officeDocument/2006/relationships/footer" Target="/word/footer.xml" Id="R2fd4033ac87643e4" /></Relationships>
</file>