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2de5a4cc4c4ba1" /></Relationships>
</file>

<file path=word/document.xml><?xml version="1.0" encoding="utf-8"?>
<w:document xmlns:w="http://schemas.openxmlformats.org/wordprocessingml/2006/main">
  <w:body>
    <w:p>
      <w:r>
        <w:t>H-0766.1</w:t>
      </w:r>
    </w:p>
    <w:p>
      <w:pPr>
        <w:jc w:val="center"/>
      </w:pPr>
      <w:r>
        <w:t>_______________________________________________</w:t>
      </w:r>
    </w:p>
    <w:p/>
    <w:p>
      <w:pPr>
        <w:jc w:val="center"/>
      </w:pPr>
      <w:r>
        <w:rPr>
          <w:b/>
        </w:rPr>
        <w:t>HOUSE BILL 1360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Wylie, Smith, Kirby, Short, Nealey, Kretz, Young, Shea, Hayes, Muri, and Holy</w:t>
      </w:r>
    </w:p>
    <w:p/>
    <w:p>
      <w:r>
        <w:rPr>
          <w:t xml:space="preserve">Read first time 01/18/17.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incremental electricity produced as a result of efficiency improvements to hydroelectric generation projects whose energy output is marketed by the Bonneville power administration to qualify as an eligible renewable resource under the energy independence act; and amending RCW 19.285.030 and 19.285.040.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 </w:t>
      </w:r>
      <w:r>
        <w:t>((</w:t>
      </w:r>
      <w:r>
        <w:rPr>
          <w:strike/>
        </w:rPr>
        <w:t xml:space="preserve">or</w:t>
      </w:r>
      <w:r>
        <w:t>))</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r>
        <w:rPr>
          <w:u w:val="single"/>
        </w:rPr>
        <w:t xml:space="preserve">;</w:t>
      </w:r>
    </w:p>
    <w:p>
      <w:pPr>
        <w:spacing w:before="0" w:after="0" w:line="408" w:lineRule="exact"/>
        <w:ind w:left="0" w:right="0" w:firstLine="576"/>
        <w:jc w:val="left"/>
      </w:pPr>
      <w:r>
        <w:rPr>
          <w:u w:val="single"/>
        </w:rPr>
        <w:t xml:space="preserve">(f) That portion of incremental electricity produced as a result of efficiency improvements completed after March 31, 1999, attributable to a qualifying utility's share of the electricity output from hydroelectric generation projects whose energy output is marketed by the Bonneville power administration where the additional generation does not result in new water diversions or impoundments; or</w:t>
      </w:r>
    </w:p>
    <w:p>
      <w:pPr>
        <w:spacing w:before="0" w:after="0" w:line="408" w:lineRule="exact"/>
        <w:ind w:left="0" w:right="0" w:firstLine="576"/>
        <w:jc w:val="left"/>
      </w:pPr>
      <w:r>
        <w:rPr>
          <w:u w:val="single"/>
        </w:rPr>
        <w:t xml:space="preserve">(g) The environmental attributes, including renewable energy credits, from (f) of this subsection transferred to investor-owned utilities pursuant to the Bonneville power administration's residential exchange program</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w:t>
      </w:r>
      <w:r>
        <w:rPr>
          <w:u w:val="single"/>
        </w:rPr>
        <w:t xml:space="preserve">, except as provided in RCW 19.285.040(2)(m),</w:t>
      </w:r>
      <w:r>
        <w:rPr/>
        <w:t xml:space="preserve"> of at least one megawatt-hour of an eligible renewable resource where</w:t>
      </w:r>
      <w:r>
        <w:rPr>
          <w:u w:val="single"/>
        </w:rPr>
        <w:t xml:space="preserve">, except as provided in subsection (12)(g) of this section,</w:t>
      </w:r>
      <w:r>
        <w:rPr/>
        <w:t xml:space="preserv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2014 c 26 s 1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w:t>
      </w:r>
      <w:r>
        <w:rPr>
          <w:u w:val="single"/>
        </w:rPr>
        <w:t xml:space="preserve">and (l)</w:t>
      </w:r>
      <w:r>
        <w:rPr/>
        <w:t xml:space="preserve">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u w:val="single"/>
        </w:rPr>
        <w:t xml:space="preserve">(l) Beginning January 1, 2018, a qualifying utility may use eligible renewable resources as identified under RCW 19.285.030(12) (f) and (g) to meet its compliance obligation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rPr>
          <w:u w:val="single"/>
        </w:rPr>
        <w:t xml:space="preserve">(m) Renewable energy credits allocated under RCW 19.285.030(12)(g) may not be transferred or sold to another qualifying utility for compliance under this chapter.</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
      <w:pPr>
        <w:jc w:val="center"/>
      </w:pPr>
      <w:r>
        <w:rPr>
          <w:b/>
        </w:rPr>
        <w:t>--- END ---</w:t>
      </w:r>
    </w:p>
    <w:sectPr>
      <w:pgNumType w:start="1"/>
      <w:footerReference xmlns:r="http://schemas.openxmlformats.org/officeDocument/2006/relationships" r:id="R9644be314eea48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00091206534533" /><Relationship Type="http://schemas.openxmlformats.org/officeDocument/2006/relationships/footer" Target="/word/footer.xml" Id="R9644be314eea485d" /></Relationships>
</file>