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b705c098f434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Jinkins, Harris, Macri, Kilduff, Riccelli, Cody, Slatter, Appleton, Kloba, Frame, and Doglio)</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of charity care availability at time of billing and collection; amending RCW 70.170.060 and 70.170.070;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t xml:space="preserve">(6)</w:t>
      </w:r>
      <w:r>
        <w:rPr>
          <w:u w:val="single"/>
        </w:rPr>
        <w:t xml:space="preserve">(a) All hospital billing statements must include the following statement in English and the non-English language most commonly spoken by the non-English speaking or limited-English speaking population in the hospital's service area:</w:t>
      </w:r>
    </w:p>
    <w:p>
      <w:pPr>
        <w:spacing w:before="120" w:after="0" w:line="408" w:lineRule="exact"/>
        <w:ind w:left="576" w:right="0" w:firstLine="0"/>
        <w:jc w:val="left"/>
      </w:pPr>
      <w:r>
        <w:rPr>
          <w:u w:val="single"/>
        </w:rPr>
        <w:t xml:space="preserve">You may qualify for a discount for some or all of your hospital bill, whether or not you have insurance. Please contact our financial assistance office at . . . .</w:t>
      </w:r>
    </w:p>
    <w:p>
      <w:pPr>
        <w:spacing w:before="120" w:after="0" w:line="408" w:lineRule="exact"/>
        <w:ind w:left="0" w:right="0" w:firstLine="576"/>
        <w:jc w:val="left"/>
      </w:pPr>
      <w:r>
        <w:rPr>
          <w:u w:val="single"/>
        </w:rPr>
        <w:t xml:space="preserve">(b) Nothing in this subsection requires any hospital to alter any preprinted hospital billing statements existing as of October 1, 2017.</w:t>
      </w:r>
    </w:p>
    <w:p>
      <w:pPr>
        <w:spacing w:before="0" w:after="0" w:line="408" w:lineRule="exact"/>
        <w:ind w:left="0" w:right="0" w:firstLine="576"/>
        <w:jc w:val="left"/>
      </w:pPr>
      <w:r>
        <w:rPr>
          <w:u w:val="single"/>
        </w:rPr>
        <w:t xml:space="preserve">(7)</w:t>
      </w:r>
      <w:r>
        <w:rPr/>
        <w:t xml:space="preserve"> Each hospital shall make every reasonable effort to determine the existence or nonexistence of private or public sponsorship which might cover in full or part the charges for care rendered by the hospital to a patient; the family income of the patient as classified under federal poverty income guidelines; and the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070</w:t>
      </w:r>
      <w:r>
        <w:rPr/>
        <w:t xml:space="preserve"> and 1989 1st ex.s. c 9 s 507 are each amended to read as follows:</w:t>
      </w:r>
    </w:p>
    <w:p>
      <w:pPr>
        <w:spacing w:before="0" w:after="0" w:line="408" w:lineRule="exact"/>
        <w:ind w:left="0" w:right="0" w:firstLine="576"/>
        <w:jc w:val="left"/>
      </w:pPr>
      <w:r>
        <w:rPr/>
        <w:t xml:space="preserve">(1) Every person who shall violate or knowingly aid and abet the violation of RCW 70.170.060 (5) or </w:t>
      </w:r>
      <w:r>
        <w:t>((</w:t>
      </w:r>
      <w:r>
        <w:rPr>
          <w:strike/>
        </w:rPr>
        <w:t xml:space="preserve">(6)</w:t>
      </w:r>
      <w:r>
        <w:t>))</w:t>
      </w:r>
      <w:r>
        <w:rPr/>
        <w:t xml:space="preserve"> </w:t>
      </w:r>
      <w:r>
        <w:rPr>
          <w:u w:val="single"/>
        </w:rPr>
        <w:t xml:space="preserve">(7)</w:t>
      </w:r>
      <w:r>
        <w:rPr/>
        <w:t xml:space="preserve">, 70.170.080, or 70.170.100, or any valid orders or rules adopted pursuant to these sections, or who fails to perform any act which it is herein made his or her duty to perform, shall be guilty of a misdemeanor. Following official notice to the accused by the department of the existence of an alleged violation, each day of noncompliance upon which a violation occurs shall constitute a separate violation. Any person violating the provisions of this chapter may be enjoined from continuing such violation. The department has authority to levy civil penalties not exceeding one thousand dollars for violations of this chapter and determined pursuant to this section.</w:t>
      </w:r>
    </w:p>
    <w:p>
      <w:pPr>
        <w:spacing w:before="0" w:after="0" w:line="408" w:lineRule="exact"/>
        <w:ind w:left="0" w:right="0" w:firstLine="576"/>
        <w:jc w:val="left"/>
      </w:pPr>
      <w:r>
        <w:rPr/>
        <w:t xml:space="preserve">(2) Every person who shall violate or knowingly aid and abet the violation of RCW 70.170.060 (1) or (2), or any valid orders or rules adopted pursuant to such section, or who fails to perform any act which it is herein made his or her duty to perform, shall be subject to the following criminal and civil penalties:</w:t>
      </w:r>
    </w:p>
    <w:p>
      <w:pPr>
        <w:spacing w:before="0" w:after="0" w:line="408" w:lineRule="exact"/>
        <w:ind w:left="0" w:right="0" w:firstLine="576"/>
        <w:jc w:val="left"/>
      </w:pPr>
      <w:r>
        <w:rPr/>
        <w:t xml:space="preserve">(a) For any initial violations: The violating person shall be guilty of a misdemeanor, and the department may impose a civil penalty not to exceed one thousand dollars as determined pursuant to this section.</w:t>
      </w:r>
    </w:p>
    <w:p>
      <w:pPr>
        <w:spacing w:before="0" w:after="0" w:line="408" w:lineRule="exact"/>
        <w:ind w:left="0" w:right="0" w:firstLine="576"/>
        <w:jc w:val="left"/>
      </w:pPr>
      <w:r>
        <w:rPr/>
        <w:t xml:space="preserve">(b) For a subsequent violation of RCW 70.170.060 (1) or (2) within five years following a conviction: The violating person shall be guilty of a misdemeanor, and the department may impose a penalty not to exceed three thousand dollars as determined pursuant to this section.</w:t>
      </w:r>
    </w:p>
    <w:p>
      <w:pPr>
        <w:spacing w:before="0" w:after="0" w:line="408" w:lineRule="exact"/>
        <w:ind w:left="0" w:right="0" w:firstLine="576"/>
        <w:jc w:val="left"/>
      </w:pPr>
      <w:r>
        <w:rPr/>
        <w:t xml:space="preserve">(c) For a subsequent violation with intent to violate RCW 70.170.060 (1) or (2) within five years following a conviction: The criminal and civil penalties enumerated in (a) of this subsection; plus up to a three-year prohibition against the issuance of tax exempt bonds under the authority of the Washington health care facilities authority; and up to a three-year prohibition from applying for and receiving a certificate of need.</w:t>
      </w:r>
    </w:p>
    <w:p>
      <w:pPr>
        <w:spacing w:before="0" w:after="0" w:line="408" w:lineRule="exact"/>
        <w:ind w:left="0" w:right="0" w:firstLine="576"/>
        <w:jc w:val="left"/>
      </w:pPr>
      <w:r>
        <w:rPr/>
        <w:t xml:space="preserve">(d) For a violation of RCW 70.170.060 (1) or (2) within five years of a conviction under (c) of this subsection: The criminal and civil penalties and prohibition enumerated in (a) and (b) of this subsection; plus up to a one-year prohibition from participation in the state medical assistance or medical care services authorized under chapter 74.09 RCW.</w:t>
      </w:r>
    </w:p>
    <w:p>
      <w:pPr>
        <w:spacing w:before="0" w:after="0" w:line="408" w:lineRule="exact"/>
        <w:ind w:left="0" w:right="0" w:firstLine="576"/>
        <w:jc w:val="left"/>
      </w:pPr>
      <w:r>
        <w:rPr/>
        <w:t xml:space="preserve">(3) The provisions of chapter 34.05 RCW shall apply to all noncriminal actions undertaken by the department of health, the department of social and health services, and the Washington health care facilities authority pursuant to chapter 9, Laws of 1989 1st ex.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2017.</w:t>
      </w:r>
    </w:p>
    <w:p/>
    <w:p>
      <w:pPr>
        <w:jc w:val="center"/>
      </w:pPr>
      <w:r>
        <w:rPr>
          <w:b/>
        </w:rPr>
        <w:t>--- END ---</w:t>
      </w:r>
    </w:p>
    <w:sectPr>
      <w:pgNumType w:start="1"/>
      <w:footerReference xmlns:r="http://schemas.openxmlformats.org/officeDocument/2006/relationships" r:id="R796490305b814a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89b334c3b74958" /><Relationship Type="http://schemas.openxmlformats.org/officeDocument/2006/relationships/footer" Target="/word/footer.xml" Id="R796490305b814a1c" /></Relationships>
</file>