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2d6431f22f4444" /></Relationships>
</file>

<file path=word/document.xml><?xml version="1.0" encoding="utf-8"?>
<w:document xmlns:w="http://schemas.openxmlformats.org/wordprocessingml/2006/main">
  <w:body>
    <w:p>
      <w:r>
        <w:t>H-2010.1</w:t>
      </w:r>
    </w:p>
    <w:p>
      <w:pPr>
        <w:jc w:val="center"/>
      </w:pPr>
      <w:r>
        <w:t>_______________________________________________</w:t>
      </w:r>
    </w:p>
    <w:p/>
    <w:p>
      <w:pPr>
        <w:jc w:val="center"/>
      </w:pPr>
      <w:r>
        <w:rPr>
          <w:b/>
        </w:rPr>
        <w:t>SUBSTITUTE HOUSE BILL 1333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Higher Education (originally sponsored by Representatives Stambaugh, Springer, Harris, Tarleton, Haler, Muri, Jinkins, and Bergquist)</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systemwide credit policy regarding AP exams; adding a new section to chapter 28B.10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hard work students put forth in completing AP exams and also recognizes the work institutions and higher education agencies have done in creating consistent policies for the purposes of awarding dual credit. It is the legislature's intent to support and facilitate this work in a timely manner by encouraging the use of evidence-based research that demonstrates a score of three on an AP exam prepares a student for subsequent, higher-level courses.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institutions of higher education, in collaboration with the student achievement council, shall establish a policy for granting undergraduate course credits that fulfill general elective requirements, general education requirements, in the major credit requirements, or requirements towards earning a credential, certificate, or degree, to students who have earned minimum scores of three on AP exams.</w:t>
      </w:r>
    </w:p>
    <w:p>
      <w:pPr>
        <w:spacing w:before="0" w:after="0" w:line="408" w:lineRule="exact"/>
        <w:ind w:left="0" w:right="0" w:firstLine="576"/>
        <w:jc w:val="left"/>
      </w:pPr>
      <w:r>
        <w:rPr/>
        <w:t xml:space="preserve">(2) Credit policy regarding all AP exams must be posted on campus web sites and provided to the student achievement council to post in accordance with RCW 28B.77.200, effective for the 2017 fall academic term. The institutions of higher education must report to the appropriate committees of the legislature in accordance with RCW 43.01.036 by November 1, 2018, on the AP credit policy.</w:t>
      </w:r>
    </w:p>
    <w:p/>
    <w:p>
      <w:pPr>
        <w:jc w:val="center"/>
      </w:pPr>
      <w:r>
        <w:rPr>
          <w:b/>
        </w:rPr>
        <w:t>--- END ---</w:t>
      </w:r>
    </w:p>
    <w:sectPr>
      <w:pgNumType w:start="1"/>
      <w:footerReference xmlns:r="http://schemas.openxmlformats.org/officeDocument/2006/relationships" r:id="Rcb4f445173fa49a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ee64e85c46448b" /><Relationship Type="http://schemas.openxmlformats.org/officeDocument/2006/relationships/footer" Target="/word/footer.xml" Id="Rcb4f445173fa49a3" /></Relationships>
</file>