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a500646d2f497f" /></Relationships>
</file>

<file path=word/document.xml><?xml version="1.0" encoding="utf-8"?>
<w:document xmlns:w="http://schemas.openxmlformats.org/wordprocessingml/2006/main">
  <w:body>
    <w:p>
      <w:r>
        <w:t>H-0561.2</w:t>
      </w:r>
    </w:p>
    <w:p>
      <w:pPr>
        <w:jc w:val="center"/>
      </w:pPr>
      <w:r>
        <w:t>_______________________________________________</w:t>
      </w:r>
    </w:p>
    <w:p/>
    <w:p>
      <w:pPr>
        <w:jc w:val="center"/>
      </w:pPr>
      <w:r>
        <w:rPr>
          <w:b/>
        </w:rPr>
        <w:t>HOUSE BILL 1297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Tarleton, Vick, Barkis, Sawyer, Ryu, and Pettigrew</w:t>
      </w:r>
    </w:p>
    <w:p/>
    <w:p>
      <w:r>
        <w:rPr>
          <w:t xml:space="preserve">Read first time 01/16/17.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distillery promotional items and spirit sample sales; and amending RCW 66.24.140 and 66.28.310.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2015 c 194 s 1 are each amended to read as follows:</w:t>
      </w:r>
    </w:p>
    <w:p>
      <w:pPr>
        <w:spacing w:before="0" w:after="0" w:line="408" w:lineRule="exact"/>
        <w:ind w:left="0" w:right="0" w:firstLine="576"/>
        <w:jc w:val="left"/>
      </w:pPr>
      <w:r>
        <w:rPr/>
        <w:t xml:space="preserve">(1) There is a license to distillers, including blending, rectifying,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w:t>
      </w:r>
      <w:r>
        <w:t>((</w:t>
      </w:r>
      <w:r>
        <w:rPr>
          <w:strike/>
        </w:rPr>
        <w:t xml:space="preserve">must</w:t>
      </w:r>
      <w:r>
        <w:t>))</w:t>
      </w:r>
      <w:r>
        <w:rPr/>
        <w:t xml:space="preserve"> </w:t>
      </w:r>
      <w:r>
        <w:rPr>
          <w:u w:val="single"/>
        </w:rPr>
        <w:t xml:space="preserve">may</w:t>
      </w:r>
      <w:r>
        <w:rPr/>
        <w:t xml:space="preserve">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spirits of its own production for consumption </w:t>
      </w:r>
      <w:r>
        <w:rPr>
          <w:u w:val="single"/>
        </w:rPr>
        <w:t xml:space="preserve">on or</w:t>
      </w:r>
      <w:r>
        <w:rPr/>
        <w:t xml:space="preserve"> off the premises. A distillery selling spirits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w:t>
      </w:r>
      <w:r>
        <w:t>((</w:t>
      </w:r>
      <w:r>
        <w:rPr>
          <w:strike/>
        </w:rPr>
        <w:t xml:space="preserve">and</w:t>
      </w:r>
      <w:r>
        <w:t>))</w:t>
      </w:r>
    </w:p>
    <w:p>
      <w:pPr>
        <w:spacing w:before="0" w:after="0" w:line="408" w:lineRule="exact"/>
        <w:ind w:left="0" w:right="0" w:firstLine="576"/>
        <w:jc w:val="left"/>
      </w:pPr>
      <w:r>
        <w:rPr/>
        <w:t xml:space="preserve">(c) Provide free or for a charge one-half ounce or less samples of spirits of its own production to persons on the premises of the distillery. The maximum total per person per day is two ounces. Every person who participates in any manner in the service of samples must obtain a class 12 alcohol server permit. Spirits samples may be adulterated with nonalcoholic mixers, </w:t>
      </w:r>
      <w:r>
        <w:rPr>
          <w:u w:val="single"/>
        </w:rPr>
        <w:t xml:space="preserve">mixers with alcohol of the distiller's own production,</w:t>
      </w:r>
      <w:r>
        <w:rPr/>
        <w:t xml:space="preserve"> water, and/or ice</w:t>
      </w:r>
      <w:r>
        <w:rPr>
          <w:u w:val="single"/>
        </w:rPr>
        <w:t xml:space="preserve">; and</w:t>
      </w:r>
    </w:p>
    <w:p>
      <w:pPr>
        <w:spacing w:before="0" w:after="0" w:line="408" w:lineRule="exact"/>
        <w:ind w:left="0" w:right="0" w:firstLine="576"/>
        <w:jc w:val="left"/>
      </w:pPr>
      <w:r>
        <w:rPr>
          <w:u w:val="single"/>
        </w:rPr>
        <w:t xml:space="preserve">(d) Provide for a charge samples with nonalcoholic mixers, mixers with alcohol of the distiller's own production, water, and/or ice of spirits of its own production to persons on the premises of the distillery. Every person who participates in any manner in the service of these samples must obtain a class 12 alcohol server permit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2015 c 94 s 1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w:t>
      </w:r>
      <w:r>
        <w:rPr>
          <w:u w:val="single"/>
        </w:rPr>
        <w:t xml:space="preserve">distilleries, craft distilleries,</w:t>
      </w:r>
      <w:r>
        <w:rPr/>
        <w:t xml:space="preserve">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
      <w:pPr>
        <w:jc w:val="center"/>
      </w:pPr>
      <w:r>
        <w:rPr>
          <w:b/>
        </w:rPr>
        <w:t>--- END ---</w:t>
      </w:r>
    </w:p>
    <w:sectPr>
      <w:pgNumType w:start="1"/>
      <w:footerReference xmlns:r="http://schemas.openxmlformats.org/officeDocument/2006/relationships" r:id="R963d47c6102f40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bdbcb2097c4dd0" /><Relationship Type="http://schemas.openxmlformats.org/officeDocument/2006/relationships/footer" Target="/word/footer.xml" Id="R963d47c6102f4038" /></Relationships>
</file>