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41ccf2df8b04a31" /></Relationships>
</file>

<file path=word/document.xml><?xml version="1.0" encoding="utf-8"?>
<w:document xmlns:w="http://schemas.openxmlformats.org/wordprocessingml/2006/main">
  <w:body>
    <w:p>
      <w:r>
        <w:t>H-0884.1</w:t>
      </w:r>
    </w:p>
    <w:p>
      <w:pPr>
        <w:jc w:val="center"/>
      </w:pPr>
      <w:r>
        <w:t>_______________________________________________</w:t>
      </w:r>
    </w:p>
    <w:p/>
    <w:p>
      <w:pPr>
        <w:jc w:val="center"/>
      </w:pPr>
      <w:r>
        <w:rPr>
          <w:b/>
        </w:rPr>
        <w:t>HOUSE BILL 1279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Pettigrew</w:t>
      </w:r>
    </w:p>
    <w:p/>
    <w:p>
      <w:r>
        <w:rPr>
          <w:t xml:space="preserve">Read first time 01/16/17.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safety drills; and amending RCW 28A.320.125.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2013 c 14 s 1 are each amended to read as follows: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provided by the superintendent of public instruction, including the comprehensive school safety checklist and the model comprehensive safe school plans that include prevention, intervention, all hazard/crisis response, and postcrisis recovery, when developing their own individual comprehensive safe school plans. Each school district shall adopt, no later than September 1, 2008,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Use the training guidance provided by the Washington emergency management division of the state military department in collaboration with the Washington state office of the superintendent of public instruction school safety center and the school safety center advisory committee;</w:t>
      </w:r>
    </w:p>
    <w:p>
      <w:pPr>
        <w:spacing w:before="0" w:after="0" w:line="408" w:lineRule="exact"/>
        <w:ind w:left="0" w:right="0" w:firstLine="576"/>
        <w:jc w:val="left"/>
      </w:pPr>
      <w:r>
        <w:rPr/>
        <w:t xml:space="preserve">(e) Require the building principal to be certified on the incident command system;</w:t>
      </w:r>
    </w:p>
    <w:p>
      <w:pPr>
        <w:spacing w:before="0" w:after="0" w:line="408" w:lineRule="exact"/>
        <w:ind w:left="0" w:right="0" w:firstLine="576"/>
        <w:jc w:val="left"/>
      </w:pPr>
      <w:r>
        <w:rPr/>
        <w:t xml:space="preserve">(f) Take into account the manner in which the school facilities may be used as a community asset in the event of a community-wide emergency; and</w:t>
      </w:r>
    </w:p>
    <w:p>
      <w:pPr>
        <w:spacing w:before="0" w:after="0" w:line="408" w:lineRule="exact"/>
        <w:ind w:left="0" w:right="0" w:firstLine="576"/>
        <w:jc w:val="left"/>
      </w:pPr>
      <w:r>
        <w:rPr/>
        <w:t xml:space="preserve">(g)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 Schools shall conduct no less than one safety</w:t>
      </w:r>
      <w:r>
        <w:rPr/>
        <w:noBreakHyphen/>
      </w:r>
      <w:r>
        <w:rPr/>
        <w:t xml:space="preserve">related drill each month that school is in session. Schools shall complete no less than one drill using the school mapping information system, three drills for lockdowns, </w:t>
      </w:r>
      <w:r>
        <w:rPr>
          <w:u w:val="single"/>
        </w:rPr>
        <w:t xml:space="preserve">one drill for earthquake safety that includes drop, cover, and hold,</w:t>
      </w:r>
      <w:r>
        <w:rPr/>
        <w:t xml:space="preserve"> one drill for shelter-in-place, three drills for fire evacuation in accordance with the state fire code, and one other safety-related drill to be determined by the school. Schools should consider drills for </w:t>
      </w:r>
      <w:r>
        <w:t>((</w:t>
      </w:r>
      <w:r>
        <w:rPr>
          <w:strike/>
        </w:rPr>
        <w:t xml:space="preserve">earthquakes, tsunamis, or</w:t>
      </w:r>
      <w:r>
        <w:t>))</w:t>
      </w:r>
      <w:r>
        <w:rPr/>
        <w:t xml:space="preserve"> other high</w:t>
      </w:r>
      <w:r>
        <w:rPr/>
        <w:noBreakHyphen/>
      </w:r>
      <w:r>
        <w:rPr/>
        <w:t xml:space="preserve">risk local events. </w:t>
      </w:r>
      <w:r>
        <w:rPr>
          <w:u w:val="single"/>
        </w:rPr>
        <w:t xml:space="preserve">Schools in mapped tsunami hazard zones must complete a pedestrian evacuation drill annually.</w:t>
      </w:r>
      <w:r>
        <w:rPr/>
        <w:t xml:space="preserve"> Schools shall document the date and time of such drills. This subsection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
      <w:pPr>
        <w:jc w:val="center"/>
      </w:pPr>
      <w:r>
        <w:rPr>
          <w:b/>
        </w:rPr>
        <w:t>--- END ---</w:t>
      </w:r>
    </w:p>
    <w:sectPr>
      <w:pgNumType w:start="1"/>
      <w:footerReference xmlns:r="http://schemas.openxmlformats.org/officeDocument/2006/relationships" r:id="R84d81d63145942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67ed548cd2f4aab" /><Relationship Type="http://schemas.openxmlformats.org/officeDocument/2006/relationships/footer" Target="/word/footer.xml" Id="R84d81d63145942a4" /></Relationships>
</file>