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8d44870804934" /></Relationships>
</file>

<file path=word/document.xml><?xml version="1.0" encoding="utf-8"?>
<w:document xmlns:w="http://schemas.openxmlformats.org/wordprocessingml/2006/main">
  <w:body>
    <w:p>
      <w:r>
        <w:t>H-2061.1</w:t>
      </w:r>
    </w:p>
    <w:p>
      <w:pPr>
        <w:jc w:val="center"/>
      </w:pPr>
      <w:r>
        <w:t>_______________________________________________</w:t>
      </w:r>
    </w:p>
    <w:p/>
    <w:p>
      <w:pPr>
        <w:jc w:val="center"/>
      </w:pPr>
      <w:r>
        <w:rPr>
          <w:b/>
        </w:rPr>
        <w:t>SUBSTITUTE HOUSE BILL 1183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Chapman, Haler, Ryu, Robinson, McDonald, Stambaugh, Frame, Senn, Riccelli, Dolan, and Hudgins)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including federally recognized Indian tribes, to designate a portion of their territory as a creative district subject to certification by the Washington state arts commission; adding new sections to chapter 43.46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0" w:after="0" w:line="408" w:lineRule="exact"/>
        <w:ind w:left="0" w:right="0" w:firstLine="576"/>
        <w:jc w:val="left"/>
      </w:pPr>
      <w:r>
        <w:rPr/>
        <w:t xml:space="preserve">(9) Total appropriations for this program, including grants and overhead costs, may not exceed one hundred fifty-six thousand dollars in the 2017-2019 biennium and two hundred thirty-five thousand dollars in the 2019-2021 biennium. From within these amounts, the commission must issue grants totaling at least forty thousand dollars to state-certified creative districts per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not dedicate additional staff to the administration of the program beyond the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dcb8d9a9fd5e4a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66890fac54a28" /><Relationship Type="http://schemas.openxmlformats.org/officeDocument/2006/relationships/footer" Target="/word/footer.xml" Id="Rdcb8d9a9fd5e4a28" /></Relationships>
</file>