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52962905ad4cc4" /></Relationships>
</file>

<file path=word/document.xml><?xml version="1.0" encoding="utf-8"?>
<w:document xmlns:w="http://schemas.openxmlformats.org/wordprocessingml/2006/main">
  <w:body>
    <w:p>
      <w:r>
        <w:t>H-0855.1</w:t>
      </w:r>
    </w:p>
    <w:p>
      <w:pPr>
        <w:jc w:val="center"/>
      </w:pPr>
      <w:r>
        <w:t>_______________________________________________</w:t>
      </w:r>
    </w:p>
    <w:p/>
    <w:p>
      <w:pPr>
        <w:jc w:val="center"/>
      </w:pPr>
      <w:r>
        <w:rPr>
          <w:b/>
        </w:rPr>
        <w:t>HOUSE BILL 1160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Springer, Kilduff, and Pollet</w:t>
      </w:r>
    </w:p>
    <w:p/>
    <w:p>
      <w:r>
        <w:rPr>
          <w:t xml:space="preserve">Read first time 01/12/17.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of the sunshine committee; amending RCW 42.56.250; reenacting and amending RCW 42.56.230 and 42.56.270; adding a new section to chapter 42.56 RCW; and repealing RCW 39.26.030.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r>
        <w:rPr>
          <w:u w:val="single"/>
        </w:rPr>
        <w:t xml:space="preserve">, unless the agency has received consent for disclosure from the subject of the information or, in the case of a child, from the child's parent or guardian</w:t>
      </w:r>
      <w:r>
        <w:rPr/>
        <w:t xml:space="preserve">:</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 and</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w:t>
      </w:r>
      <w:r>
        <w:rPr>
          <w:u w:val="single"/>
        </w:rPr>
        <w:t xml:space="preserve">(a)</w:t>
      </w:r>
      <w:r>
        <w:rPr/>
        <w:t xml:space="preserve"> The following information held by any public agency in personnel records, public employment related records, volunteer rosters, or included in any mailing list of employees or volunteers of any public agency:</w:t>
      </w:r>
    </w:p>
    <w:p>
      <w:pPr>
        <w:spacing w:before="0" w:after="0" w:line="408" w:lineRule="exact"/>
        <w:ind w:left="0" w:right="0" w:firstLine="576"/>
        <w:jc w:val="left"/>
      </w:pPr>
      <w:r>
        <w:rPr>
          <w:u w:val="single"/>
        </w:rPr>
        <w:t xml:space="preserve">(i)</w:t>
      </w:r>
      <w:r>
        <w:rPr/>
        <w:t xml:space="preserve"> Residential addresses </w:t>
      </w:r>
      <w:r>
        <w:rPr>
          <w:u w:val="single"/>
        </w:rPr>
        <w:t xml:space="preserve">(not including city, state, and zip codes)</w:t>
      </w:r>
      <w:r>
        <w:rPr/>
        <w:t xml:space="preserve">,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w:t>
      </w:r>
      <w:r>
        <w:rPr>
          <w:u w:val="single"/>
        </w:rPr>
        <w:t xml:space="preserve">passport and visa numbers,</w:t>
      </w:r>
      <w:r>
        <w:rPr/>
        <w:t xml:space="preserve"> and emergency contact information of employees or volunteers of a public agency</w:t>
      </w:r>
      <w:r>
        <w:t>((</w:t>
      </w:r>
      <w:r>
        <w:rPr>
          <w:strike/>
        </w:rPr>
        <w:t xml:space="preserve">,</w:t>
      </w:r>
      <w:r>
        <w:t>))</w:t>
      </w:r>
      <w:r>
        <w:rPr>
          <w:u w:val="single"/>
        </w:rPr>
        <w:t xml:space="preserve">;</w:t>
      </w:r>
      <w:r>
        <w:rPr/>
        <w:t xml:space="preserve"> and </w:t>
      </w:r>
      <w:r>
        <w:t>((</w:t>
      </w:r>
      <w:r>
        <w:rPr>
          <w:strike/>
        </w:rPr>
        <w:t xml:space="preserve">the names, dates of birth, residential addresses, residential telephone numbers, personal wireless telephone numbers, personal electronic mail addresses, social security numbers, and emergency contact information</w:t>
      </w:r>
      <w:r>
        <w:t>))</w:t>
      </w:r>
    </w:p>
    <w:p>
      <w:pPr>
        <w:spacing w:before="0" w:after="0" w:line="408" w:lineRule="exact"/>
        <w:ind w:left="0" w:right="0" w:firstLine="576"/>
        <w:jc w:val="left"/>
      </w:pPr>
      <w:r>
        <w:rPr>
          <w:u w:val="single"/>
        </w:rPr>
        <w:t xml:space="preserve">(ii) All identifying and contact information</w:t>
      </w:r>
      <w:r>
        <w:rPr/>
        <w:t xml:space="preserve"> of dependents of employees or volunteers of a public agency.</w:t>
      </w:r>
    </w:p>
    <w:p>
      <w:pPr>
        <w:spacing w:before="0" w:after="0" w:line="408" w:lineRule="exact"/>
        <w:ind w:left="0" w:right="0" w:firstLine="576"/>
        <w:jc w:val="left"/>
      </w:pPr>
      <w:r>
        <w:rPr>
          <w:u w:val="single"/>
        </w:rPr>
        <w:t xml:space="preserve">(b)</w:t>
      </w:r>
      <w:r>
        <w:rPr/>
        <w:t xml:space="preserve"> For purposes of this subsection </w:t>
      </w:r>
      <w:r>
        <w:rPr>
          <w:u w:val="single"/>
        </w:rPr>
        <w:t xml:space="preserve">(3)</w:t>
      </w:r>
      <w:r>
        <w:rPr/>
        <w:t xml:space="preserve">,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r>
        <w:rPr>
          <w:u w:val="single"/>
        </w:rPr>
        <w:t xml:space="preserve">. For purposes of this subsection, the exemption is categorical and exempts the records in their entirety while the investigation is ongoing. Once the agency has notified the complaining employee of the outcome of the investigation, the exemption no longer applies</w:t>
      </w:r>
      <w:r>
        <w:rPr/>
        <w:t xml:space="preserve">;</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and</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u w:val="single"/>
        </w:rPr>
        <w:t xml:space="preserve">(1)</w:t>
      </w:r>
      <w:r>
        <w:rPr/>
        <w:t xml:space="preserve"> The following financial, commercial, and proprietary information is exempt from disclosure under this chapter</w:t>
      </w:r>
      <w:r>
        <w:rPr>
          <w:u w:val="single"/>
        </w:rPr>
        <w:t xml:space="preserve">, as long as the information is clearly marked as confidential and accompanied by a particularized explanation of expected harm from disclosure at the time of submission or the agency determines that disclosure of the information is substantially likely to cause public or private loss or unfair private gain</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Financial information supplied by or on behalf of a person, firm, or corporation for the purpose of qualifying to submit a bid or proposal for </w:t>
      </w:r>
      <w:r>
        <w:t>((</w:t>
      </w:r>
      <w:r>
        <w:rPr>
          <w:strike/>
        </w:rPr>
        <w:t xml:space="preserve">(a)</w:t>
      </w:r>
      <w:r>
        <w:t>))</w:t>
      </w:r>
      <w:r>
        <w:rPr/>
        <w:t xml:space="preserve"> </w:t>
      </w:r>
      <w:r>
        <w:rPr>
          <w:u w:val="single"/>
        </w:rPr>
        <w:t xml:space="preserve">(i)</w:t>
      </w:r>
      <w:r>
        <w:rPr/>
        <w:t xml:space="preserve"> a ferry system construction or repair contract as required by RCW 47.60.680 through 47.60.750 or </w:t>
      </w:r>
      <w:r>
        <w:t>((</w:t>
      </w:r>
      <w:r>
        <w:rPr>
          <w:strike/>
        </w:rPr>
        <w:t xml:space="preserve">(b)</w:t>
      </w:r>
      <w:r>
        <w:t>))</w:t>
      </w:r>
      <w:r>
        <w:rPr/>
        <w:t xml:space="preserve"> </w:t>
      </w:r>
      <w:r>
        <w:rPr>
          <w:u w:val="single"/>
        </w:rPr>
        <w:t xml:space="preserve">(ii)</w:t>
      </w:r>
      <w:r>
        <w:rPr/>
        <w:t xml:space="preserve"> highway construction or improvement as required by RCW 47.28.070;</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Financial and valuable trade information under RCW 51.36.120;</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t>((</w:t>
      </w:r>
      <w:r>
        <w:rPr>
          <w:strike/>
        </w:rPr>
        <w:t xml:space="preserve">(10)(a)</w:t>
      </w:r>
      <w:r>
        <w:t>))</w:t>
      </w:r>
      <w:r>
        <w:rPr/>
        <w:t xml:space="preserve"> </w:t>
      </w:r>
      <w:r>
        <w:rPr>
          <w:u w:val="single"/>
        </w:rPr>
        <w:t xml:space="preserve">(j)(i)</w:t>
      </w:r>
      <w:r>
        <w:rPr/>
        <w:t xml:space="preserve">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Internal control documents, independent auditors' reports and financial statements, and supporting documents: </w:t>
      </w:r>
      <w:r>
        <w:t>((</w:t>
      </w:r>
      <w:r>
        <w:rPr>
          <w:strike/>
        </w:rPr>
        <w:t xml:space="preserve">(i)</w:t>
      </w:r>
      <w:r>
        <w:t>))</w:t>
      </w:r>
      <w:r>
        <w:rPr/>
        <w:t xml:space="preserve"> </w:t>
      </w:r>
      <w:r>
        <w:rPr>
          <w:u w:val="single"/>
        </w:rPr>
        <w:t xml:space="preserve">(A)</w:t>
      </w:r>
      <w:r>
        <w:rPr/>
        <w:t xml:space="preserve"> Of house-banked social card game licensees required by the gambling commission pursuant to rules adopted under chapter 9.46 RCW; or </w:t>
      </w:r>
      <w:r>
        <w:t>((</w:t>
      </w:r>
      <w:r>
        <w:rPr>
          <w:strike/>
        </w:rPr>
        <w:t xml:space="preserve">(ii)</w:t>
      </w:r>
      <w:r>
        <w:t>))</w:t>
      </w:r>
      <w:r>
        <w:rPr/>
        <w:t xml:space="preserve"> </w:t>
      </w:r>
      <w:r>
        <w:rPr>
          <w:u w:val="single"/>
        </w:rPr>
        <w:t xml:space="preserve">(B)</w:t>
      </w:r>
      <w:r>
        <w:rPr/>
        <w:t xml:space="preserve"> submitted by tribes with an approved tribal/state compact for class III gaming;</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Proprietary data, trade secrets, or other information </w:t>
      </w:r>
      <w:r>
        <w:rPr>
          <w:u w:val="single"/>
        </w:rPr>
        <w:t xml:space="preserve">that is submitted by any vendor to the department of social and health services for purposes of the development, acquisition, or implementation of state purchased health care as defined in RCW 41.05.011, and</w:t>
      </w:r>
      <w:r>
        <w:rPr/>
        <w:t xml:space="preserve"> that relates to: </w:t>
      </w:r>
      <w:r>
        <w:t>((</w:t>
      </w:r>
      <w:r>
        <w:rPr>
          <w:strike/>
        </w:rPr>
        <w:t xml:space="preserve">(a)</w:t>
      </w:r>
      <w:r>
        <w:t>))</w:t>
      </w:r>
      <w:r>
        <w:rPr/>
        <w:t xml:space="preserve"> </w:t>
      </w:r>
      <w:r>
        <w:rPr>
          <w:u w:val="single"/>
        </w:rPr>
        <w:t xml:space="preserve">(i)</w:t>
      </w:r>
      <w:r>
        <w:rPr/>
        <w:t xml:space="preserve"> A vendor's unique methods of conducting business; </w:t>
      </w:r>
      <w:r>
        <w:t>((</w:t>
      </w:r>
      <w:r>
        <w:rPr>
          <w:strike/>
        </w:rPr>
        <w:t xml:space="preserve">(b)</w:t>
      </w:r>
      <w:r>
        <w:t>))</w:t>
      </w:r>
      <w:r>
        <w:rPr/>
        <w:t xml:space="preserve"> </w:t>
      </w:r>
      <w:r>
        <w:rPr>
          <w:u w:val="single"/>
        </w:rPr>
        <w:t xml:space="preserve">(ii)</w:t>
      </w:r>
      <w:r>
        <w:rPr/>
        <w:t xml:space="preserve"> data unique to the product or services of the vendor; or </w:t>
      </w:r>
      <w:r>
        <w:t>((</w:t>
      </w:r>
      <w:r>
        <w:rPr>
          <w:strike/>
        </w:rPr>
        <w:t xml:space="preserve">(c)</w:t>
      </w:r>
      <w:r>
        <w:t>))</w:t>
      </w:r>
      <w:r>
        <w:rPr/>
        <w:t xml:space="preserve"> </w:t>
      </w:r>
      <w:r>
        <w:rPr>
          <w:u w:val="single"/>
        </w:rPr>
        <w:t xml:space="preserve">(iii)</w:t>
      </w:r>
      <w:r>
        <w:rPr/>
        <w:t xml:space="preserve"> determining prices or rates to be charged for services</w:t>
      </w:r>
      <w:r>
        <w:t>((</w:t>
      </w:r>
      <w:r>
        <w:rPr>
          <w:strike/>
        </w:rPr>
        <w:t xml:space="preserve">, submitted by any vendor to the department of social and health services for purposes of the development, acquisition, or implementation of state purchased health care as defined in RCW 41.05.011</w:t>
      </w:r>
      <w:r>
        <w:t>))</w:t>
      </w:r>
      <w:r>
        <w:rPr/>
        <w:t xml:space="preserve">;</w:t>
      </w:r>
    </w:p>
    <w:p>
      <w:pPr>
        <w:spacing w:before="0" w:after="0" w:line="408" w:lineRule="exact"/>
        <w:ind w:left="0" w:right="0" w:firstLine="576"/>
        <w:jc w:val="left"/>
      </w:pPr>
      <w:r>
        <w:t>((</w:t>
      </w:r>
      <w:r>
        <w:rPr>
          <w:strike/>
        </w:rPr>
        <w:t xml:space="preserve">(12)(a)</w:t>
      </w:r>
      <w:r>
        <w:t>))</w:t>
      </w:r>
      <w:r>
        <w:rPr/>
        <w:t xml:space="preserve"> </w:t>
      </w:r>
      <w:r>
        <w:rPr>
          <w:u w:val="single"/>
        </w:rPr>
        <w:t xml:space="preserve">(l)(i)</w:t>
      </w:r>
      <w:r>
        <w:rPr/>
        <w:t xml:space="preserve"> When supplied to and in the records of the department of commerce: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Financial and proprietary information collected from any person and provided to the department of commerce pursuant to RCW 43.330.050(8);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When developed by the department of commerce based on information as described in </w:t>
      </w:r>
      <w:r>
        <w:t>((</w:t>
      </w:r>
      <w:r>
        <w:rPr>
          <w:strike/>
        </w:rPr>
        <w:t xml:space="preserve">(a)(i)</w:t>
      </w:r>
      <w:r>
        <w:t>))</w:t>
      </w:r>
      <w:r>
        <w:rPr/>
        <w:t xml:space="preserve"> </w:t>
      </w:r>
      <w:r>
        <w:rPr>
          <w:u w:val="single"/>
        </w:rPr>
        <w:t xml:space="preserve">(l)(i)(A)</w:t>
      </w:r>
      <w:r>
        <w:rPr/>
        <w:t xml:space="preserve"> of this subsection, any work product is not exempt from disclosure;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For the purposes of this subsection, "siting decision" means the decision to acquire or not to acquire a site;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If there is no written contact for a period of sixty days to the department of commerce from a person connected with siting, recruitment, expansion, retention, or relocation of that person's business, information described in </w:t>
      </w:r>
      <w:r>
        <w:t>((</w:t>
      </w:r>
      <w:r>
        <w:rPr>
          <w:strike/>
        </w:rPr>
        <w:t xml:space="preserve">(a)(ii)</w:t>
      </w:r>
      <w:r>
        <w:t>))</w:t>
      </w:r>
      <w:r>
        <w:rPr/>
        <w:t xml:space="preserve"> </w:t>
      </w:r>
      <w:r>
        <w:rPr>
          <w:u w:val="single"/>
        </w:rPr>
        <w:t xml:space="preserve">(l)(i)(B)</w:t>
      </w:r>
      <w:r>
        <w:rPr/>
        <w:t xml:space="preserve"> of this subsection will be available to the public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t>((</w:t>
      </w:r>
      <w:r>
        <w:rPr>
          <w:strike/>
        </w:rPr>
        <w:t xml:space="preserve">(17)(a)</w:t>
      </w:r>
      <w:r>
        <w:t>))</w:t>
      </w:r>
      <w:r>
        <w:rPr/>
        <w:t xml:space="preserve"> </w:t>
      </w:r>
      <w:r>
        <w:rPr>
          <w:u w:val="single"/>
        </w:rPr>
        <w:t xml:space="preserve">(q)(i)</w:t>
      </w:r>
      <w:r>
        <w:rPr/>
        <w:t xml:space="preserve">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Farm plans developed under chapter 90.48 RCW and not under the federal clean water act, 33 U.S.C. Sec. 1251 et seq., are subject to RCW 42.56.610 and 90.64.190;</w:t>
      </w:r>
    </w:p>
    <w:p>
      <w:pPr>
        <w:spacing w:before="0" w:after="0" w:line="408" w:lineRule="exact"/>
        <w:ind w:left="0" w:right="0" w:firstLine="576"/>
        <w:jc w:val="left"/>
      </w:pPr>
      <w:r>
        <w:t>((</w:t>
      </w:r>
      <w:r>
        <w:rPr>
          <w:strike/>
        </w:rPr>
        <w:t xml:space="preserve">(18)</w:t>
      </w:r>
      <w:r>
        <w:t>))</w:t>
      </w:r>
      <w:r>
        <w:rPr/>
        <w:t xml:space="preserve"> </w:t>
      </w:r>
      <w:r>
        <w:rPr>
          <w:u w:val="single"/>
        </w:rPr>
        <w:t xml:space="preserve">(r)</w:t>
      </w:r>
      <w:r>
        <w:rPr/>
        <w:t xml:space="preserve">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t>((</w:t>
      </w:r>
      <w:r>
        <w:rPr>
          <w:strike/>
        </w:rPr>
        <w:t xml:space="preserve">(19)</w:t>
      </w:r>
      <w:r>
        <w:t>))</w:t>
      </w:r>
      <w:r>
        <w:rPr/>
        <w:t xml:space="preserve"> </w:t>
      </w:r>
      <w:r>
        <w:rPr>
          <w:u w:val="single"/>
        </w:rPr>
        <w:t xml:space="preserve">(s)</w:t>
      </w:r>
      <w:r>
        <w:rPr/>
        <w:t xml:space="preserve"> Information gathered under chapter 19.85 RCW or RCW 34.05.328 that can be identified to a particular business;</w:t>
      </w:r>
    </w:p>
    <w:p>
      <w:pPr>
        <w:spacing w:before="0" w:after="0" w:line="408" w:lineRule="exact"/>
        <w:ind w:left="0" w:right="0" w:firstLine="576"/>
        <w:jc w:val="left"/>
      </w:pPr>
      <w:r>
        <w:t>((</w:t>
      </w:r>
      <w:r>
        <w:rPr>
          <w:strike/>
        </w:rPr>
        <w:t xml:space="preserve">(20)</w:t>
      </w:r>
      <w:r>
        <w:t>))</w:t>
      </w:r>
      <w:r>
        <w:rPr/>
        <w:t xml:space="preserve"> </w:t>
      </w:r>
      <w:r>
        <w:rPr>
          <w:u w:val="single"/>
        </w:rPr>
        <w:t xml:space="preserve">(t)</w:t>
      </w:r>
      <w:r>
        <w:rPr/>
        <w:t xml:space="preserve">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t>((</w:t>
      </w:r>
      <w:r>
        <w:rPr>
          <w:strike/>
        </w:rPr>
        <w:t xml:space="preserve">(21)</w:t>
      </w:r>
      <w:r>
        <w:t>))</w:t>
      </w:r>
      <w:r>
        <w:rPr/>
        <w:t xml:space="preserve"> </w:t>
      </w:r>
      <w:r>
        <w:rPr>
          <w:u w:val="single"/>
        </w:rPr>
        <w:t xml:space="preserve">(u)</w:t>
      </w:r>
      <w:r>
        <w:rPr/>
        <w:t xml:space="preserve"> Market share data submitted by a manufacturer under RCW 70.95N.190(4);</w:t>
      </w:r>
    </w:p>
    <w:p>
      <w:pPr>
        <w:spacing w:before="0" w:after="0" w:line="408" w:lineRule="exact"/>
        <w:ind w:left="0" w:right="0" w:firstLine="576"/>
        <w:jc w:val="left"/>
      </w:pPr>
      <w:r>
        <w:t>((</w:t>
      </w:r>
      <w:r>
        <w:rPr>
          <w:strike/>
        </w:rPr>
        <w:t xml:space="preserve">(22)</w:t>
      </w:r>
      <w:r>
        <w:t>))</w:t>
      </w:r>
      <w:r>
        <w:rPr/>
        <w:t xml:space="preserve"> </w:t>
      </w:r>
      <w:r>
        <w:rPr>
          <w:u w:val="single"/>
        </w:rPr>
        <w:t xml:space="preserve">(v)</w:t>
      </w:r>
      <w:r>
        <w:rPr/>
        <w:t xml:space="preserve">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t>((</w:t>
      </w:r>
      <w:r>
        <w:rPr>
          <w:strike/>
        </w:rPr>
        <w:t xml:space="preserve">(23)</w:t>
      </w:r>
      <w:r>
        <w:t>))</w:t>
      </w:r>
      <w:r>
        <w:rPr/>
        <w:t xml:space="preserve"> </w:t>
      </w:r>
      <w:r>
        <w:rPr>
          <w:u w:val="single"/>
        </w:rPr>
        <w:t xml:space="preserve">(w)</w:t>
      </w:r>
      <w:r>
        <w:rPr/>
        <w:t xml:space="preserve">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t>((</w:t>
      </w:r>
      <w:r>
        <w:rPr>
          <w:strike/>
        </w:rPr>
        <w:t xml:space="preserve">(24)</w:t>
      </w:r>
      <w:r>
        <w:t>))</w:t>
      </w:r>
      <w:r>
        <w:rPr/>
        <w:t xml:space="preserve"> </w:t>
      </w:r>
      <w:r>
        <w:rPr>
          <w:u w:val="single"/>
        </w:rPr>
        <w:t xml:space="preserve">(x)</w:t>
      </w:r>
      <w:r>
        <w:rPr/>
        <w:t xml:space="preserve">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p>
    <w:p>
      <w:pPr>
        <w:spacing w:before="0" w:after="0" w:line="408" w:lineRule="exact"/>
        <w:ind w:left="0" w:right="0" w:firstLine="576"/>
        <w:jc w:val="left"/>
      </w:pPr>
      <w:r>
        <w:rPr>
          <w:strike/>
        </w:rPr>
        <w:t xml:space="preserve">(25)</w:t>
      </w:r>
      <w:r>
        <w:t>))</w:t>
      </w:r>
      <w:r>
        <w:rPr/>
        <w:t xml:space="preserve"> </w:t>
      </w:r>
      <w:r>
        <w:rPr>
          <w:u w:val="single"/>
        </w:rPr>
        <w:t xml:space="preserve">(y)</w:t>
      </w:r>
      <w:r>
        <w:rPr/>
        <w:t xml:space="preserve">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p>
    <w:p>
      <w:pPr>
        <w:spacing w:before="0" w:after="0" w:line="408" w:lineRule="exact"/>
        <w:ind w:left="0" w:right="0" w:firstLine="576"/>
        <w:jc w:val="left"/>
      </w:pPr>
      <w:r>
        <w:rPr>
          <w:strike/>
        </w:rPr>
        <w:t xml:space="preserve">(26)</w:t>
      </w:r>
      <w:r>
        <w:t>))</w:t>
      </w:r>
      <w:r>
        <w:rPr/>
        <w:t xml:space="preserve"> </w:t>
      </w:r>
      <w:r>
        <w:rPr>
          <w:u w:val="single"/>
        </w:rPr>
        <w:t xml:space="preserve">(z)</w:t>
      </w:r>
      <w:r>
        <w:rPr/>
        <w:t xml:space="preserve">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w:t>
      </w:r>
      <w:r>
        <w:t>((</w:t>
      </w:r>
      <w:r>
        <w:rPr>
          <w:strike/>
        </w:rPr>
        <w:t xml:space="preserve">(a)</w:t>
      </w:r>
      <w:r>
        <w:t>))</w:t>
      </w:r>
      <w:r>
        <w:rPr/>
        <w:t xml:space="preserve"> </w:t>
      </w:r>
      <w:r>
        <w:rPr>
          <w:u w:val="single"/>
        </w:rPr>
        <w:t xml:space="preserve">(i)</w:t>
      </w:r>
      <w:r>
        <w:rPr/>
        <w:t xml:space="preserve"> the names and commitment amounts of the private funds in which retirement funds are invested and </w:t>
      </w:r>
      <w:r>
        <w:t>((</w:t>
      </w:r>
      <w:r>
        <w:rPr>
          <w:strike/>
        </w:rPr>
        <w:t xml:space="preserve">(b)</w:t>
      </w:r>
      <w:r>
        <w:t>))</w:t>
      </w:r>
      <w:r>
        <w:rPr/>
        <w:t xml:space="preserve"> </w:t>
      </w:r>
      <w:r>
        <w:rPr>
          <w:u w:val="single"/>
        </w:rPr>
        <w:t xml:space="preserve">(ii)</w:t>
      </w:r>
      <w:r>
        <w:rPr/>
        <w:t xml:space="preserve"> the aggregate quarterly performance results for a retirement fund's portfolio of investments in such funds are subject to disclosure</w:t>
      </w:r>
      <w:r>
        <w:rPr/>
        <w:t xml:space="preserve">; </w:t>
      </w:r>
      <w:r>
        <w:t>((</w:t>
      </w:r>
      <w:r>
        <w:rPr>
          <w:strike/>
        </w:rPr>
        <w:t xml:space="preserve">and</w:t>
      </w:r>
    </w:p>
    <w:p>
      <w:pPr>
        <w:spacing w:before="0" w:after="0" w:line="408" w:lineRule="exact"/>
        <w:ind w:left="0" w:right="0" w:firstLine="576"/>
        <w:jc w:val="left"/>
      </w:pPr>
      <w:r>
        <w:rPr>
          <w:strike/>
        </w:rPr>
        <w:t xml:space="preserve">(27)</w:t>
      </w:r>
      <w:r>
        <w:t>))</w:t>
      </w:r>
      <w:r>
        <w:rPr/>
        <w:t xml:space="preserve"> </w:t>
      </w:r>
      <w:r>
        <w:rPr>
          <w:u w:val="single"/>
        </w:rPr>
        <w:t xml:space="preserve">(aa)</w:t>
      </w:r>
      <w:r>
        <w:rPr/>
        <w:t xml:space="preserve">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r>
        <w:rPr>
          <w:u w:val="single"/>
        </w:rPr>
        <w:t xml:space="preserve">; and</w:t>
      </w:r>
    </w:p>
    <w:p>
      <w:pPr>
        <w:spacing w:before="0" w:after="0" w:line="408" w:lineRule="exact"/>
        <w:ind w:left="0" w:right="0" w:firstLine="576"/>
        <w:jc w:val="left"/>
      </w:pPr>
      <w:r>
        <w:rPr>
          <w:u w:val="single"/>
        </w:rPr>
        <w:t xml:space="preserve">(bb) Trade secrets as defined in RCW 19.108.010</w:t>
      </w:r>
      <w:r>
        <w:rPr/>
        <w:t xml:space="preserve">.</w:t>
      </w:r>
    </w:p>
    <w:p>
      <w:pPr>
        <w:spacing w:before="0" w:after="0" w:line="408" w:lineRule="exact"/>
        <w:ind w:left="0" w:right="0" w:firstLine="576"/>
        <w:jc w:val="left"/>
      </w:pPr>
      <w:r>
        <w:rPr>
          <w:u w:val="single"/>
        </w:rPr>
        <w:t xml:space="preserve">(2) In any action under RCW 42.56.540 to enjoin disclosure of financial, commercial, or proprietary information pursuant to this section, the court may award attorneys' fees to any defendant, including a requester or agency, to the extent that the defendant prevailed in opposing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Bids, quotations, or proposals submitted to an agency for goods or services in response to a solicitation issued for such goods or services are exempt from disclosure until the agency announces the apparent successful bidder based on predetermined criteria or decides not to accept any bids, quotations, or proposals.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030</w:t>
      </w:r>
      <w:r>
        <w:rPr/>
        <w:t xml:space="preserve"> (State procurement records</w:t>
      </w:r>
      <w:r>
        <w:rPr>
          <w:rFonts w:ascii="Times New Roman" w:hAnsi="Times New Roman"/>
        </w:rPr>
        <w:t xml:space="preserve">—</w:t>
      </w:r>
      <w:r>
        <w:rPr/>
        <w:t xml:space="preserve">Disclosure) and 2012 c 224 s 4 are each repealed.</w:t>
      </w:r>
    </w:p>
    <w:p/>
    <w:p>
      <w:pPr>
        <w:jc w:val="center"/>
      </w:pPr>
      <w:r>
        <w:rPr>
          <w:b/>
        </w:rPr>
        <w:t>--- END ---</w:t>
      </w:r>
    </w:p>
    <w:sectPr>
      <w:pgNumType w:start="1"/>
      <w:footerReference xmlns:r="http://schemas.openxmlformats.org/officeDocument/2006/relationships" r:id="Ra5698320fb3f42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e7c3501d1d4669" /><Relationship Type="http://schemas.openxmlformats.org/officeDocument/2006/relationships/footer" Target="/word/footer.xml" Id="Ra5698320fb3f423a" /></Relationships>
</file>