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94ef942f454cd4" /></Relationships>
</file>

<file path=word/document.xml><?xml version="1.0" encoding="utf-8"?>
<w:document xmlns:w="http://schemas.openxmlformats.org/wordprocessingml/2006/main">
  <w:body>
    <w:p>
      <w:r>
        <w:t>H-1746.1</w:t>
      </w:r>
    </w:p>
    <w:p>
      <w:pPr>
        <w:jc w:val="center"/>
      </w:pPr>
      <w:r>
        <w:t>_______________________________________________</w:t>
      </w:r>
    </w:p>
    <w:p/>
    <w:p>
      <w:pPr>
        <w:jc w:val="center"/>
      </w:pPr>
      <w:r>
        <w:rPr>
          <w:b/>
        </w:rPr>
        <w:t>SUBSTITUTE HOUSE BILL 1126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Condotta, Sawyer, and Vick)</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deadline for the use and implementation of a marijuana retail license by a licensee; and amending RCW 69.50.325.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and to produce marijuana plants for sale to cooperatives as described under RCW 69.51A.250,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w:t>
      </w:r>
      <w:r>
        <w:rPr>
          <w:u w:val="single"/>
        </w:rPr>
        <w:t xml:space="preserve">(a)</w:t>
      </w:r>
      <w:r>
        <w:rPr/>
        <w:t xml:space="preserve">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u w:val="single"/>
        </w:rPr>
        <w:t xml:space="preserve">(b)(i) A marijuana retailer license is subject to forfeiture in accordance with rules adopted by the state liquor and cannabis board pursuant to this section.</w:t>
      </w:r>
    </w:p>
    <w:p>
      <w:pPr>
        <w:spacing w:before="0" w:after="0" w:line="408" w:lineRule="exact"/>
        <w:ind w:left="0" w:right="0" w:firstLine="576"/>
        <w:jc w:val="left"/>
      </w:pPr>
      <w:r>
        <w:rPr>
          <w:u w:val="single"/>
        </w:rPr>
        <w:t xml:space="preserve">(ii) The state liquor and cannabis board shall adopt rules to establish a license forfeiture process for a licensed marijuana retailer that is not fully operational and open to the public within a specified period from the date of license issuance, as established by the state liquor and cannabis board, subject to the following restrictions:</w:t>
      </w:r>
    </w:p>
    <w:p>
      <w:pPr>
        <w:spacing w:before="0" w:after="0" w:line="408" w:lineRule="exact"/>
        <w:ind w:left="0" w:right="0" w:firstLine="576"/>
        <w:jc w:val="left"/>
      </w:pPr>
      <w:r>
        <w:rPr>
          <w:u w:val="single"/>
        </w:rPr>
        <w:t xml:space="preserve">(A) No marijuana retailer license may be subject to forfeiture within the first nine months of license issuance; and</w:t>
      </w:r>
    </w:p>
    <w:p>
      <w:pPr>
        <w:spacing w:before="0" w:after="0" w:line="408" w:lineRule="exact"/>
        <w:ind w:left="0" w:right="0" w:firstLine="576"/>
        <w:jc w:val="left"/>
      </w:pPr>
      <w:r>
        <w:rPr>
          <w:u w:val="single"/>
        </w:rPr>
        <w:t xml:space="preserve">(B) The state liquor and cannabis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u w:val="single"/>
        </w:rPr>
        <w:t xml:space="preserve">(iii) The state liquor and cannabis board has discretion in adopting rules under this subsection (3)(b).</w:t>
      </w:r>
    </w:p>
    <w:p>
      <w:pPr>
        <w:spacing w:before="0" w:after="0" w:line="408" w:lineRule="exact"/>
        <w:ind w:left="0" w:right="0" w:firstLine="576"/>
        <w:jc w:val="left"/>
      </w:pPr>
      <w:r>
        <w:rPr>
          <w:u w:val="single"/>
        </w:rPr>
        <w:t xml:space="preserve">(iv) This subsection (3)(b) applies to marijuana retailer licenses issued before and after the effective date of this section. However, no license of a marijuana retailer that otherwise meets the conditions for license forfeiture established pursuant to this subsection (3)(b) may be subject to forfeiture within the first three calendar months of the effective date of this section</w:t>
      </w:r>
      <w:r>
        <w:rPr>
          <w:u w:val="single"/>
        </w:rPr>
        <w:t xml:space="preserve">.</w:t>
      </w:r>
    </w:p>
    <w:p/>
    <w:p>
      <w:pPr>
        <w:jc w:val="center"/>
      </w:pPr>
      <w:r>
        <w:rPr>
          <w:b/>
        </w:rPr>
        <w:t>--- END ---</w:t>
      </w:r>
    </w:p>
    <w:sectPr>
      <w:pgNumType w:start="1"/>
      <w:footerReference xmlns:r="http://schemas.openxmlformats.org/officeDocument/2006/relationships" r:id="R210a2ead9f8e41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f6b5224ba247c0" /><Relationship Type="http://schemas.openxmlformats.org/officeDocument/2006/relationships/footer" Target="/word/footer.xml" Id="R210a2ead9f8e416b" /></Relationships>
</file>