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9790bab81e4a99" /></Relationships>
</file>

<file path=word/document.xml><?xml version="1.0" encoding="utf-8"?>
<w:document xmlns:w="http://schemas.openxmlformats.org/wordprocessingml/2006/main">
  <w:body>
    <w:p>
      <w:r>
        <w:t>H-1347.1</w:t>
      </w:r>
    </w:p>
    <w:p>
      <w:pPr>
        <w:jc w:val="center"/>
      </w:pPr>
      <w:r>
        <w:t>_______________________________________________</w:t>
      </w:r>
    </w:p>
    <w:p/>
    <w:p>
      <w:pPr>
        <w:jc w:val="center"/>
      </w:pPr>
      <w:r>
        <w:rPr>
          <w:b/>
        </w:rPr>
        <w:t>SUBSTITUTE HOUSE BILL 1123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Condotta, Ryu, Barkis, Kirby, Wilcox, Tarleton, McBride, Smith, Muri, Frame, Tharinger, Morris, and J. Walsh)</w:t>
      </w:r>
    </w:p>
    <w:p/>
    <w:p>
      <w:r>
        <w:rPr>
          <w:t xml:space="preserve">READ FIRST TIME 01/31/17.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section to chapter 82.08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no general funds committed to statewide tourism marketing and Washington is the only state without a state-funded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"Statewide tourism marketing account" means the account created pursuant to section 5 of this act in the custody of the state treasurer. This account must be the depository for contributions collected pursuant to section 9 of this act and any legislative appropriation, except as otherwise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comprised of both private industry and public members,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 (3) The department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One member from each of the two major caucuses of the house of representatives and one alternate for each member selected to be appointed by the speaker of the house of representatives and one member from each of the two caucuses of the senate and one alternate for each member to be appointed by the president of the senate;</w:t>
      </w:r>
    </w:p>
    <w:p>
      <w:pPr>
        <w:spacing w:before="0" w:after="0" w:line="408" w:lineRule="exact"/>
        <w:ind w:left="0" w:right="0" w:firstLine="576"/>
        <w:jc w:val="left"/>
      </w:pPr>
      <w:r>
        <w:rPr/>
        <w:t xml:space="preserve">(b) Nine representatives from the tourism industry and related businesses including, but not limited to, hotel, restaurant, outdoor recreation, attractions, retail, and rental car businesses appointed by the department. The director must take into consideration contributions of the particular industry or business represented to tourism activities and marketing experience of the representative when making board appointments. The director must accept and consider board membership nominations from the tourism industry and related businesses.</w:t>
      </w:r>
    </w:p>
    <w:p>
      <w:pPr>
        <w:spacing w:before="0" w:after="0" w:line="408" w:lineRule="exact"/>
        <w:ind w:left="0" w:right="0" w:firstLine="576"/>
        <w:jc w:val="left"/>
      </w:pPr>
      <w:r>
        <w:rPr/>
        <w:t xml:space="preserve">(2) There must be a nonvoting advisory committee to the board. The advisory committee must consist of: </w:t>
      </w:r>
    </w:p>
    <w:p>
      <w:pPr>
        <w:spacing w:before="0" w:after="0" w:line="408" w:lineRule="exact"/>
        <w:ind w:left="0" w:right="0" w:firstLine="576"/>
        <w:jc w:val="left"/>
      </w:pPr>
      <w:r>
        <w:rPr/>
        <w:t xml:space="preserve">(a) Four ex officio members from the department, department of revenue, state parks department, and department of transportation;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(3) Appointments by the director of the department must reflect diversity in geography, size of businesses, gender, and ethnicity.</w:t>
      </w:r>
    </w:p>
    <w:p>
      <w:pPr>
        <w:spacing w:before="0" w:after="0" w:line="408" w:lineRule="exact"/>
        <w:ind w:left="0" w:right="0" w:firstLine="576"/>
        <w:jc w:val="left"/>
      </w:pPr>
      <w:r>
        <w:rPr/>
        <w:t xml:space="preserve">(4) The initial appointments under subsection (1)(a) and (b) of this section must be appointed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(5)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(6) A majority of the board constitutes a quorum.</w:t>
      </w:r>
    </w:p>
    <w:p>
      <w:pPr>
        <w:spacing w:before="0" w:after="0" w:line="408" w:lineRule="exact"/>
        <w:ind w:left="0" w:right="0" w:firstLine="576"/>
        <w:jc w:val="left"/>
      </w:pPr>
      <w:r>
        <w:rPr/>
        <w:t xml:space="preserve">(7) The board must create its own bylaws in accordance with the laws of the state of Washington.</w:t>
      </w:r>
    </w:p>
    <w:p>
      <w:pPr>
        <w:spacing w:before="0" w:after="0" w:line="408" w:lineRule="exact"/>
        <w:ind w:left="0" w:right="0" w:firstLine="576"/>
        <w:jc w:val="left"/>
      </w:pPr>
      <w:r>
        <w:rPr/>
        <w:t xml:space="preserve">(8)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(9) If a vacancy occurs on the board, the director must fill the same for the unexpired term.</w:t>
      </w:r>
    </w:p>
    <w:p>
      <w:pPr>
        <w:spacing w:before="0" w:after="0" w:line="408" w:lineRule="exact"/>
        <w:ind w:left="0" w:right="0" w:firstLine="576"/>
        <w:jc w:val="left"/>
      </w:pPr>
      <w:r>
        <w:rPr/>
        <w:t xml:space="preserve">(10)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(11) The board must meet at least quarterly.</w:t>
      </w:r>
    </w:p>
    <w:p>
      <w:pPr>
        <w:spacing w:before="0" w:after="0" w:line="408" w:lineRule="exact"/>
        <w:ind w:left="0" w:right="0" w:firstLine="576"/>
        <w:jc w:val="left"/>
      </w:pPr>
      <w:r>
        <w:rPr/>
        <w:t xml:space="preserve">(12) No board member of the authority may serve on the board of an organization that could be considered for the contract authorized by RCW 43.79A.040.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state treasury. All receipts from contributions under section 7 of this act and legislative appropriations must be deposited into the account.</w:t>
      </w:r>
    </w:p>
    <w:p>
      <w:pPr>
        <w:spacing w:before="0" w:after="0" w:line="408" w:lineRule="exact"/>
        <w:ind w:left="0" w:right="0" w:firstLine="576"/>
        <w:jc w:val="left"/>
      </w:pPr>
      <w:r>
        <w:rPr/>
        <w:t xml:space="preserve">(2) Expenditures from the account may be used only for expenses related to implementation of a statewide tourism marketing program. Expenditures from the account may only be made when a two to one nonstate to state match is provided. State dollars must be matched with nonstate cash contributions, the value of an advertising equivalency contribution, or through an in-kind contribution. The board must determine criteria for what qualifies as an in-kind contribution. The chair of the authority or the chair's designee may authorize expenditures from the account.</w:t>
      </w:r>
    </w:p>
    <w:p>
      <w:pPr>
        <w:spacing w:before="0" w:after="0" w:line="408" w:lineRule="exact"/>
        <w:ind w:left="0" w:right="0" w:firstLine="576"/>
        <w:jc w:val="left"/>
      </w:pPr>
      <w:r>
        <w:rPr/>
        <w:t xml:space="preserve">(3) In the event of a dispute concerning expenditure authorization, a majority of the board may authorize expenditures for the account.</w:t>
      </w:r>
    </w:p>
    <w:p>
      <w:pPr>
        <w:spacing w:before="0" w:after="0" w:line="408" w:lineRule="exact"/>
        <w:ind w:left="0" w:right="0" w:firstLine="576"/>
        <w:jc w:val="left"/>
      </w:pPr>
      <w:r>
        <w:rPr/>
        <w:t xml:space="preserve">(4) The account is subject to the allotment procedures under chapter 43.88 RCW.</w:t>
      </w:r>
    </w:p>
    <w:p>
      <w:pPr>
        <w:spacing w:before="0" w:after="0" w:line="408" w:lineRule="exact"/>
        <w:ind w:left="0" w:right="0" w:firstLine="576"/>
        <w:jc w:val="left"/>
      </w:pPr>
      <w:r>
        <w:rPr/>
        <w:t xml:space="preserve">(5) State and nonstate funds must be accounted for separately.</w:t>
      </w:r>
    </w:p>
    <w:p>
      <w:pPr>
        <w:spacing w:before="0" w:after="0" w:line="408" w:lineRule="exact"/>
        <w:ind w:left="0" w:right="0" w:firstLine="576"/>
        <w:jc w:val="left"/>
      </w:pPr>
      <w:r>
        <w:rPr/>
        <w:t xml:space="preserve">(6) At the end of the 2017-2019 biennium, all revenues collected pursuant to section 9 of this act that remain in the statewide tourism marketing account and are not matched by nonstate funds must revert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must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Beginning July 1, 2017, 0.1 percent of taxes collected pursuant to RCW 82.08.020(1) on retail sales of lodging, car rentals, and restaurants must be deposited into the statewide tourism marketing account created in section 5 of this act, up to five million dollars per biennium. The revenues collected under this section and deposited into the statewide tourism marketing account are subject to nonstate matching funds prior to expenditure as provided in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12 of this act) and report its findings and recommendations to the governor and the economic development committees of the senate and house of representatives by December 1, 2020. The purpose of the evaluation is to determine the extent to which the authority has contributed to the growth of the tourism industry and economic development of the state.</w:t>
      </w:r>
      <w:r>
        <w:rPr/>
        <w:t xml:space="preserve"> An interim report by the authority is due to the governor and economic development committees of the house of representatives and senate by December 1, 2018.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c623e2d1b38b4f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a7dee084354ac2" /><Relationship Type="http://schemas.openxmlformats.org/officeDocument/2006/relationships/footer" Target="/word/footer.xml" Id="Rc623e2d1b38b4f73" /></Relationships>
</file>