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7a15f0611748fd" /></Relationships>
</file>

<file path=word/document.xml><?xml version="1.0" encoding="utf-8"?>
<w:document xmlns:w="http://schemas.openxmlformats.org/wordprocessingml/2006/main">
  <w:body>
    <w:p>
      <w:r>
        <w:t>H-1123.1</w:t>
      </w:r>
    </w:p>
    <w:p>
      <w:pPr>
        <w:jc w:val="center"/>
      </w:pPr>
      <w:r>
        <w:t>_______________________________________________</w:t>
      </w:r>
    </w:p>
    <w:p/>
    <w:p>
      <w:pPr>
        <w:jc w:val="center"/>
      </w:pPr>
      <w:r>
        <w:rPr>
          <w:b/>
        </w:rPr>
        <w:t>SUBSTITUTE HOUSE BILL 1038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Condotta, Stanford, Johnson, Vick, Haler, and Sawyer)</w:t>
      </w:r>
    </w:p>
    <w:p/>
    <w:p>
      <w:r>
        <w:rPr>
          <w:t xml:space="preserve">READ FIRST TIME 01/24/17.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tasting rooms allowed under a domestic winery license; amending RCW 66.24.170;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2016 c 235 s 1 are each amended to read as follows:</w:t>
      </w:r>
    </w:p>
    <w:p>
      <w:pPr>
        <w:spacing w:before="0" w:after="0" w:line="408" w:lineRule="exact"/>
        <w:ind w:left="0" w:right="0" w:firstLine="576"/>
        <w:jc w:val="left"/>
      </w:pPr>
      <w:r>
        <w:rPr/>
        <w:t xml:space="preserve">(1) There is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w:t>
      </w:r>
      <w:r>
        <w:t>((</w:t>
      </w:r>
      <w:r>
        <w:rPr>
          <w:strike/>
        </w:rPr>
        <w:t xml:space="preserve">two</w:t>
      </w:r>
      <w:r>
        <w:t>))</w:t>
      </w:r>
      <w:r>
        <w:rPr/>
        <w:t xml:space="preserve"> </w:t>
      </w:r>
      <w:r>
        <w:rPr>
          <w:u w:val="single"/>
        </w:rPr>
        <w:t xml:space="preserve">four</w:t>
      </w:r>
      <w:r>
        <w:rPr/>
        <w:t xml:space="preserve">; (c) a winery may not act as a distributor at any such additional location; and (d)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w:t>
      </w:r>
      <w:r>
        <w:t>((</w:t>
      </w:r>
      <w:r>
        <w:rPr>
          <w:strike/>
        </w:rPr>
        <w:t xml:space="preserve">two</w:t>
      </w:r>
      <w:r>
        <w:t>))</w:t>
      </w:r>
      <w:r>
        <w:rPr/>
        <w:t xml:space="preserve"> </w:t>
      </w:r>
      <w:r>
        <w:rPr>
          <w:u w:val="single"/>
        </w:rPr>
        <w:t xml:space="preserve">four</w:t>
      </w:r>
      <w:r>
        <w:rPr/>
        <w:t xml:space="preserve">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must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shall not require a special license.</w:t>
      </w:r>
    </w:p>
    <w:p>
      <w:pPr>
        <w:spacing w:before="0" w:after="0" w:line="408" w:lineRule="exact"/>
        <w:ind w:left="0" w:right="0" w:firstLine="576"/>
        <w:jc w:val="left"/>
      </w:pPr>
      <w:r>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licensee;</w:t>
      </w:r>
    </w:p>
    <w:p>
      <w:pPr>
        <w:spacing w:before="0" w:after="0" w:line="408" w:lineRule="exact"/>
        <w:ind w:left="0" w:right="0" w:firstLine="576"/>
        <w:jc w:val="left"/>
      </w:pPr>
      <w:r>
        <w:rPr/>
        <w:t xml:space="preserve">(b) The domestic winery delivers wine to the consumer on a date after the conclusion of the special occasion event;</w:t>
      </w:r>
    </w:p>
    <w:p>
      <w:pPr>
        <w:spacing w:before="0" w:after="0" w:line="408" w:lineRule="exact"/>
        <w:ind w:left="0" w:right="0" w:firstLine="576"/>
        <w:jc w:val="left"/>
      </w:pPr>
      <w:r>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at least two hundred new domestic wineries be created over the next six years. The state liquor and cannabis board must report electronically to the house committee on commerce and gaming regarding the number of new domestic wineries each biennium. The first report is due June 30, 2019, and a report is due every two years thereafter through June 30, 2023.</w:t>
      </w:r>
    </w:p>
    <w:p/>
    <w:p>
      <w:pPr>
        <w:jc w:val="center"/>
      </w:pPr>
      <w:r>
        <w:rPr>
          <w:b/>
        </w:rPr>
        <w:t>--- END ---</w:t>
      </w:r>
    </w:p>
    <w:sectPr>
      <w:pgNumType w:start="1"/>
      <w:footerReference xmlns:r="http://schemas.openxmlformats.org/officeDocument/2006/relationships" r:id="Rc2895f85088d4e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4efd652da24d02" /><Relationship Type="http://schemas.openxmlformats.org/officeDocument/2006/relationships/footer" Target="/word/footer.xml" Id="Rc2895f85088d4e96" /></Relationships>
</file>