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959be78433436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1017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Environment (originally sponsored by Representatives McCaslin, Barkis, Blake, Holy, Pettigrew, Haler, Taylor, Shea, Harris, Chandler, Smith, Muri, Stokesbary, Nealey, Stambaugh, Griffey, Vick, Buys, Dye, Short, Pike, Wilcox, Van Werven, Hargrove, Young, Klippert, Kilduff, and Sawyer)</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siting of schools and school facilities; amending RCW 36.70A.030; and adding new sections to chapter 36.70A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This chapter does not prohibit a county planning under RCW 36.70A.040 from authorizing the extension of public facilities and utilities to serve a school sited in a rural area so long as:</w:t>
      </w:r>
    </w:p>
    <w:p>
      <w:pPr>
        <w:spacing w:before="0" w:after="0" w:line="408" w:lineRule="exact"/>
        <w:ind w:left="0" w:right="0" w:firstLine="576"/>
        <w:jc w:val="left"/>
      </w:pPr>
      <w:r>
        <w:rPr/>
        <w:t xml:space="preserve">(a) The county and any affected cities agree with the extension;</w:t>
      </w:r>
    </w:p>
    <w:p>
      <w:pPr>
        <w:spacing w:before="0" w:after="0" w:line="408" w:lineRule="exact"/>
        <w:ind w:left="0" w:right="0" w:firstLine="576"/>
        <w:jc w:val="left"/>
      </w:pPr>
      <w:r>
        <w:rPr/>
        <w:t xml:space="preserve">(b) The applicable school district has made a finding, with the concurrence of the county legislative authority and the legislative authorities of any affected cities, that the district's proposed site is suitable to site the school and any associated recreational facilities that the districting has determined cannot reasonably be colocated on an existing school site, taking into consideration school service area needs, locally adopted educational program requirements, and the extent to which there is suitable land available within the growth area that is vacant or developable;</w:t>
      </w:r>
    </w:p>
    <w:p>
      <w:pPr>
        <w:spacing w:before="0" w:after="0" w:line="408" w:lineRule="exact"/>
        <w:ind w:left="0" w:right="0" w:firstLine="576"/>
        <w:jc w:val="left"/>
      </w:pPr>
      <w:r>
        <w:rPr/>
        <w:t xml:space="preserve">(c) If the public facility or utility is extended beyond the urban growth area to serve a school, the public facility or utility must serve only the school and the costs of such extension must be borne by the applicable school district based on a reasonable nexus to the impacts of the school, except as provided in subsection (3) of this section; and</w:t>
      </w:r>
    </w:p>
    <w:p>
      <w:pPr>
        <w:spacing w:before="0" w:after="0" w:line="408" w:lineRule="exact"/>
        <w:ind w:left="0" w:right="0" w:firstLine="576"/>
        <w:jc w:val="left"/>
      </w:pPr>
      <w:r>
        <w:rPr/>
        <w:t xml:space="preserve">(d) Any impacts associated with the siting of the school are mitigated as required by the state environmental policy act, chapter 43.21C RCW.</w:t>
      </w:r>
    </w:p>
    <w:p>
      <w:pPr>
        <w:spacing w:before="0" w:after="0" w:line="408" w:lineRule="exact"/>
        <w:ind w:left="0" w:right="0" w:firstLine="576"/>
        <w:jc w:val="left"/>
      </w:pPr>
      <w:r>
        <w:rPr/>
        <w:t xml:space="preserve">(2) This chapter does not prohibit either the expansion of an existing school in the rural area or the placement of portable classrooms at an existing school in the rural area.</w:t>
      </w:r>
    </w:p>
    <w:p>
      <w:pPr>
        <w:spacing w:before="0" w:after="0" w:line="408" w:lineRule="exact"/>
        <w:ind w:left="0" w:right="0" w:firstLine="576"/>
        <w:jc w:val="left"/>
      </w:pPr>
      <w:r>
        <w:rPr/>
        <w:t xml:space="preserve">(3) Where a public facility or utility has been extended beyond the urban growth area to serve a school, the public facility or utility may, where consistent with RCW 36.70A.110(4), serve a property or properties in addition to the school if a property owner so requests, provided that the county and any affected cities agree with the request and provided that the property is located no further from the public facility or utility than the distance that, if the property were within the urban growth area, the property would be required to connect to the public facility or utility. In such an instance, the school district may, for a period not to exceed twenty years, require reimbursement from a requesting property owner for a proportional share of the construction costs incurred by the school district for the extension of the public facility or utilities.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 county may authorize the siting in a rural area of a school that serves students from an urban area, even where otherwise prohibited by a multicounty planning policy, under the following circumstances:</w:t>
      </w:r>
    </w:p>
    <w:p>
      <w:pPr>
        <w:spacing w:before="0" w:after="0" w:line="408" w:lineRule="exact"/>
        <w:ind w:left="0" w:right="0" w:firstLine="576"/>
        <w:jc w:val="left"/>
      </w:pPr>
      <w:r>
        <w:rPr/>
        <w:t xml:space="preserve">(a) The county has a population greater than eight hundred forty thousand but less than one million five hundred thousand;</w:t>
      </w:r>
    </w:p>
    <w:p>
      <w:pPr>
        <w:spacing w:before="0" w:after="0" w:line="408" w:lineRule="exact"/>
        <w:ind w:left="0" w:right="0" w:firstLine="576"/>
        <w:jc w:val="left"/>
      </w:pPr>
      <w:r>
        <w:rPr/>
        <w:t xml:space="preserve">(b) The county must have adopted in its comprehensive plan a policy concerning the siting of schools in rural areas;</w:t>
      </w:r>
    </w:p>
    <w:p>
      <w:pPr>
        <w:spacing w:before="0" w:after="0" w:line="408" w:lineRule="exact"/>
        <w:ind w:left="0" w:right="0" w:firstLine="576"/>
        <w:jc w:val="left"/>
      </w:pPr>
      <w:r>
        <w:rPr/>
        <w:t xml:space="preserve">(c) Any impacts associated with the siting of such a school are mitigated as required by the state environmental policy act, chapter 43.21C RCW; and</w:t>
      </w:r>
    </w:p>
    <w:p>
      <w:pPr>
        <w:spacing w:before="0" w:after="0" w:line="408" w:lineRule="exact"/>
        <w:ind w:left="0" w:right="0" w:firstLine="576"/>
        <w:jc w:val="left"/>
      </w:pPr>
      <w:r>
        <w:rPr/>
        <w:t xml:space="preserve">(d) The county must be a participant in a multicounty planning policy as described in RCW 36.70A.210.</w:t>
      </w:r>
    </w:p>
    <w:p>
      <w:pPr>
        <w:spacing w:before="0" w:after="0" w:line="408" w:lineRule="exact"/>
        <w:ind w:left="0" w:right="0" w:firstLine="576"/>
        <w:jc w:val="left"/>
      </w:pPr>
      <w:r>
        <w:rPr/>
        <w:t xml:space="preserve">(2) A multicounty planning policy in which any county referenced in subsection (1) of this section is a participant must be amended, at its next regularly scheduled update, to include a policy that addresses the siting of schools in rural areas of all counties subject to the multicounty planning policy.</w:t>
      </w:r>
    </w:p>
    <w:p>
      <w:pPr>
        <w:spacing w:before="0" w:after="0" w:line="408" w:lineRule="exact"/>
        <w:ind w:left="0" w:right="0" w:firstLine="576"/>
        <w:jc w:val="left"/>
      </w:pPr>
      <w:r>
        <w:rPr/>
        <w:t xml:space="preserve">(3) A school sited under this section may not collect or impose the impact fees described in RCW 82.02.050.</w:t>
      </w:r>
    </w:p>
    <w:p>
      <w:pPr>
        <w:spacing w:before="0" w:after="0" w:line="408" w:lineRule="exact"/>
        <w:ind w:left="0" w:right="0" w:firstLine="576"/>
        <w:jc w:val="left"/>
      </w:pPr>
      <w:r>
        <w:rPr/>
        <w:t xml:space="preserve">(4) This section expires upon the adoption of the next regularly scheduled update of any multicounty planning policy referenced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In a county that chooses to site schools under section 2 of this act, each school district within the county must participate in the county's periodic updates required by RCW 36.70A.130(1)(b) by:</w:t>
      </w:r>
    </w:p>
    <w:p>
      <w:pPr>
        <w:spacing w:before="0" w:after="0" w:line="408" w:lineRule="exact"/>
        <w:ind w:left="0" w:right="0" w:firstLine="576"/>
        <w:jc w:val="left"/>
      </w:pPr>
      <w:r>
        <w:rPr/>
        <w:t xml:space="preserve">(1) Coordinating its enrollment forecasts and projections with the county's adopted population projections;</w:t>
      </w:r>
    </w:p>
    <w:p>
      <w:pPr>
        <w:spacing w:before="0" w:after="0" w:line="408" w:lineRule="exact"/>
        <w:ind w:left="0" w:right="0" w:firstLine="576"/>
        <w:jc w:val="left"/>
      </w:pPr>
      <w:r>
        <w:rPr/>
        <w:t xml:space="preserve">(2) Identifying school siting criteria with the county, cities, and regional transportation planning organizations;</w:t>
      </w:r>
    </w:p>
    <w:p>
      <w:pPr>
        <w:spacing w:before="0" w:after="0" w:line="408" w:lineRule="exact"/>
        <w:ind w:left="0" w:right="0" w:firstLine="576"/>
        <w:jc w:val="left"/>
      </w:pPr>
      <w:r>
        <w:rPr/>
        <w:t xml:space="preserve">(3) Identifying suitable school sites with the county and cities, with priority to siting urban-serving schools in existing cities and towns in locations where students can safely walk and bicycle to the school from their homes and that can effectively be served with transit; and</w:t>
      </w:r>
    </w:p>
    <w:p>
      <w:pPr>
        <w:spacing w:before="0" w:after="0" w:line="408" w:lineRule="exact"/>
        <w:ind w:left="0" w:right="0" w:firstLine="576"/>
        <w:jc w:val="left"/>
      </w:pPr>
      <w:r>
        <w:rPr/>
        <w:t xml:space="preserve">(4) Working with the county and cities to identify school costs and funding for the capital facilities plan element required by RCW 36.70A.070(3).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2012 c 21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(3) "City" means any city or town, including a code city.</w:t>
      </w:r>
    </w:p>
    <w:p>
      <w:pPr>
        <w:spacing w:before="0" w:after="0" w:line="408" w:lineRule="exact"/>
        <w:ind w:left="0" w:right="0" w:firstLine="576"/>
        <w:jc w:val="left"/>
      </w:pPr>
      <w:r>
        <w:rPr/>
        <w:t xml:space="preserve">(4)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(5)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(6) "Department" means the department of commerce.</w:t>
      </w:r>
    </w:p>
    <w:p>
      <w:pPr>
        <w:spacing w:before="0" w:after="0" w:line="408" w:lineRule="exact"/>
        <w:ind w:left="0" w:right="0" w:firstLine="576"/>
        <w:jc w:val="left"/>
      </w:pPr>
      <w:r>
        <w:rPr/>
        <w:t xml:space="preserve">(7)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(8)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rPr/>
        <w:t xml:space="preserve">(9)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rPr/>
        <w:t xml:space="preserve">(10)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rPr/>
        <w:t xml:space="preserve">(11) "Minerals" include gravel, sand, and valuable metallic substances.</w:t>
      </w:r>
    </w:p>
    <w:p>
      <w:pPr>
        <w:spacing w:before="0" w:after="0" w:line="408" w:lineRule="exact"/>
        <w:ind w:left="0" w:right="0" w:firstLine="576"/>
        <w:jc w:val="left"/>
      </w:pPr>
      <w:r>
        <w:rPr/>
        <w:t xml:space="preserve">(12)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rPr/>
        <w:t xml:space="preserve">(13)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rPr/>
        <w:t xml:space="preserve">(14)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rPr/>
        <w:t xml:space="preserve">(15)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rPr/>
        <w:t xml:space="preserve">(16)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rPr/>
        <w:t xml:space="preserve">(17) "Rural governmental services" or "rural services" include those public services and public facilities historically and typically delivered at an intensity usually found in rural areas, and may include domestic water systems, fire and police protection services, </w:t>
      </w:r>
      <w:r>
        <w:rPr>
          <w:u w:val="single"/>
        </w:rPr>
        <w:t xml:space="preserve">schools serving primarily rural students,</w:t>
      </w:r>
      <w:r>
        <w:rPr/>
        <w:t xml:space="preserve">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rPr/>
        <w:t xml:space="preserve">(18)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w:t>
      </w:r>
      <w:r>
        <w:rPr>
          <w:u w:val="single"/>
        </w:rPr>
        <w:t xml:space="preserve">schools,</w:t>
      </w:r>
      <w:r>
        <w:rPr/>
        <w:t xml:space="preserve"> public transit services, and other public utilities associated with urban areas and normally not associated with rural areas.</w:t>
      </w:r>
    </w:p>
    <w:p>
      <w:pPr>
        <w:spacing w:before="0" w:after="0" w:line="408" w:lineRule="exact"/>
        <w:ind w:left="0" w:right="0" w:firstLine="576"/>
        <w:jc w:val="left"/>
      </w:pPr>
      <w:r>
        <w:rPr/>
        <w:t xml:space="preserve">(19)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rPr/>
        <w:t xml:space="preserve">(20) "Urban growth areas" means those areas designated by a county pursuant to RCW 36.70A.110.</w:t>
      </w:r>
    </w:p>
    <w:p>
      <w:pPr>
        <w:spacing w:before="0" w:after="0" w:line="408" w:lineRule="exact"/>
        <w:ind w:left="0" w:right="0" w:firstLine="576"/>
        <w:jc w:val="left"/>
      </w:pPr>
      <w:r>
        <w:rPr/>
        <w:t xml:space="preserve">(21)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
      <w:pPr>
        <w:jc w:val="center"/>
      </w:pPr>
      <w:r>
        <w:rPr>
          <w:b/>
        </w:rPr>
        <w:t>--- END ---</w:t>
      </w:r>
    </w:p>
    <w:sectPr>
      <w:pgNumType w:start="1"/>
      <w:footerReference xmlns:r="http://schemas.openxmlformats.org/officeDocument/2006/relationships" r:id="R5cfaa836fa244b4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1017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71475f88f54eb1" /><Relationship Type="http://schemas.openxmlformats.org/officeDocument/2006/relationships/footer" Target="/word/footer.xml" Id="R5cfaa836fa244b4c" /></Relationships>
</file>