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6f8dcab3465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6353-S3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S5072.1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3SSB 6353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509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02/10/2018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after line 5, strike all of part IV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part and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3SSB 6353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509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02/10/2018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8 of the title, after "penalties;" insert "and" and after "date" strike "; and providing an expiration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study of automatic voter registration of recently naturalized citizens and of automatic voter registration at birth.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bdc85f0ba4d72" /></Relationships>
</file>