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4158efdabee4cad" /></Relationships>
</file>

<file path=word/document.xml><?xml version="1.0" encoding="utf-8"?>
<w:document xmlns:w="http://schemas.openxmlformats.org/wordprocessingml/2006/main">
  <w:body>
    <w:p>
      <w:r>
        <w:rPr>
          <w:b/>
        </w:rPr>
        <w:r>
          <w:rPr/>
          <w:t xml:space="preserve">6086-S2</w:t>
        </w:r>
      </w:r>
      <w:r>
        <w:rPr>
          <w:b/>
        </w:rPr>
        <w:t xml:space="preserve"> </w:t>
        <w:t xml:space="preserve">AMS</w:t>
      </w:r>
      <w:r>
        <w:rPr>
          <w:b/>
        </w:rPr>
        <w:t xml:space="preserve"> </w:t>
        <w:r>
          <w:rPr/>
          <w:t xml:space="preserve">HONE</w:t>
        </w:r>
      </w:r>
      <w:r>
        <w:rPr>
          <w:b/>
        </w:rPr>
        <w:t xml:space="preserve"> </w:t>
        <w:r>
          <w:rPr/>
          <w:t xml:space="preserve">S4759.1</w:t>
        </w:r>
      </w:r>
      <w:r>
        <w:rPr>
          <w:b/>
        </w:rPr>
        <w:t xml:space="preserve"> - NOT FOR FLOOR USE</w:t>
      </w:r>
    </w:p>
    <w:p>
      <w:pPr>
        <w:ind w:left="0" w:right="0" w:firstLine="576"/>
      </w:pPr>
    </w:p>
    <w:p>
      <w:pPr>
        <w:spacing w:before="480" w:after="0" w:line="408" w:lineRule="exact"/>
      </w:pPr>
      <w:r>
        <w:rPr>
          <w:b/>
          <w:u w:val="single"/>
        </w:rPr>
        <w:t xml:space="preserve">2SSB 6086</w:t>
      </w:r>
      <w:r>
        <w:t xml:space="preserve"> -</w:t>
      </w:r>
      <w:r>
        <w:t xml:space="preserve"> </w:t>
        <w:t xml:space="preserve">S AMD</w:t>
      </w:r>
      <w:r>
        <w:t xml:space="preserve"> </w:t>
      </w:r>
      <w:r>
        <w:rPr>
          <w:b/>
        </w:rPr>
        <w:t xml:space="preserve">445</w:t>
      </w:r>
    </w:p>
    <w:p>
      <w:pPr>
        <w:spacing w:before="0" w:after="0" w:line="408" w:lineRule="exact"/>
        <w:ind w:left="0" w:right="0" w:firstLine="576"/>
        <w:jc w:val="left"/>
      </w:pPr>
      <w:r>
        <w:rPr/>
        <w:t xml:space="preserve">By Senator Honeyford</w:t>
      </w:r>
    </w:p>
    <w:p>
      <w:pPr>
        <w:jc w:val="right"/>
      </w:pPr>
      <w:r>
        <w:rPr>
          <w:b/>
        </w:rPr>
        <w:t xml:space="preserve">NOT ADOPTED 02/08/2018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departments of ecology, natural resources, and fish and wildlife must continue the existing effort to update guidance and informational resources to industry and governments for planning and permitting commercial marine net pen aquaculture of Atlantic salmon or other nonnative finfish.</w:t>
      </w:r>
    </w:p>
    <w:p>
      <w:pPr>
        <w:spacing w:before="0" w:after="0" w:line="408" w:lineRule="exact"/>
        <w:ind w:left="0" w:right="0" w:firstLine="576"/>
        <w:jc w:val="left"/>
      </w:pPr>
      <w:r>
        <w:rPr/>
        <w:t xml:space="preserve">(b) The effort must utilize new scientific information that has emerged since the current state guidance that dates from the late 1980s through 1990, and address topics including local shoreline permitting, water quality, impacts on native fish, shellfish, and wildlife, and interagency coordination in permitting, inspections, and enforcement. The guidance must be designed to minimize escapement and negative impacts to water quality and native fish, shellfish, and wildlife.</w:t>
      </w:r>
    </w:p>
    <w:p>
      <w:pPr>
        <w:spacing w:before="0" w:after="0" w:line="408" w:lineRule="exact"/>
        <w:ind w:left="0" w:right="0" w:firstLine="576"/>
        <w:jc w:val="left"/>
      </w:pPr>
      <w:r>
        <w:rPr/>
        <w:t xml:space="preserve">(2) The effort must include an analysis of the impacts of ending commercial marine net pen aquaculture of Atlantic salmon or other nonnative finfish in Washington concurrent with the expiration of applicable state-owned aquatic land leases in effect on the effective date of this section. The departments of ecology, natural resources, and fish and wildlife may collaborate with other relevant state agencies with subject matter expertise in order to effectuate the analysis. The analysis must consider the following:</w:t>
      </w:r>
    </w:p>
    <w:p>
      <w:pPr>
        <w:spacing w:before="0" w:after="0" w:line="408" w:lineRule="exact"/>
        <w:ind w:left="0" w:right="0" w:firstLine="576"/>
        <w:jc w:val="left"/>
      </w:pPr>
      <w:r>
        <w:rPr/>
        <w:t xml:space="preserve">(a) Natural resource impacts, both positive and negative;</w:t>
      </w:r>
    </w:p>
    <w:p>
      <w:pPr>
        <w:spacing w:before="0" w:after="0" w:line="408" w:lineRule="exact"/>
        <w:ind w:left="0" w:right="0" w:firstLine="576"/>
        <w:jc w:val="left"/>
      </w:pPr>
      <w:r>
        <w:rPr/>
        <w:t xml:space="preserve">(b) Projected job gains, losses, and broader economic impacts; and</w:t>
      </w:r>
    </w:p>
    <w:p>
      <w:pPr>
        <w:spacing w:before="0" w:after="0" w:line="408" w:lineRule="exact"/>
        <w:ind w:left="0" w:right="0" w:firstLine="576"/>
        <w:jc w:val="left"/>
      </w:pPr>
      <w:r>
        <w:rPr/>
        <w:t xml:space="preserve">(c) Impacts to other state programs and local governments, both positive and negative.</w:t>
      </w:r>
    </w:p>
    <w:p>
      <w:pPr>
        <w:spacing w:before="0" w:after="0" w:line="408" w:lineRule="exact"/>
        <w:ind w:left="0" w:right="0" w:firstLine="576"/>
        <w:jc w:val="left"/>
      </w:pPr>
      <w:r>
        <w:rPr/>
        <w:t xml:space="preserve">(3) The guidance, resources, and analysis must be completed by June 30, 2019.</w:t>
      </w:r>
    </w:p>
    <w:p>
      <w:pPr>
        <w:spacing w:before="0" w:after="0" w:line="408" w:lineRule="exact"/>
        <w:ind w:left="0" w:right="0" w:firstLine="576"/>
        <w:jc w:val="left"/>
      </w:pPr>
      <w:r>
        <w:rPr/>
        <w:t xml:space="preserve">(4) This section expires December 31, 2020."</w:t>
      </w:r>
    </w:p>
    <w:p>
      <w:pPr>
        <w:spacing w:before="480" w:after="0" w:line="408" w:lineRule="exact"/>
      </w:pPr>
      <w:r>
        <w:rPr>
          <w:b/>
          <w:u w:val="single"/>
        </w:rPr>
        <w:t xml:space="preserve">2SSB 6086</w:t>
      </w:r>
      <w:r>
        <w:t xml:space="preserve"> -</w:t>
      </w:r>
      <w:r>
        <w:t xml:space="preserve"> </w:t>
        <w:t xml:space="preserve">S AMD</w:t>
      </w:r>
      <w:r>
        <w:t xml:space="preserve"> </w:t>
      </w:r>
      <w:r>
        <w:rPr>
          <w:b/>
        </w:rPr>
        <w:t xml:space="preserve">445</w:t>
      </w:r>
    </w:p>
    <w:p>
      <w:pPr>
        <w:spacing w:before="0" w:after="0" w:line="408" w:lineRule="exact"/>
        <w:ind w:left="0" w:right="0" w:firstLine="576"/>
        <w:jc w:val="left"/>
      </w:pPr>
      <w:r>
        <w:rPr/>
        <w:t xml:space="preserve">By Senator Honeyford</w:t>
      </w:r>
    </w:p>
    <w:p>
      <w:pPr>
        <w:jc w:val="right"/>
      </w:pPr>
      <w:r>
        <w:rPr>
          <w:b/>
        </w:rPr>
        <w:t xml:space="preserve">NOT ADOPTED 02/08/2018</w:t>
      </w:r>
    </w:p>
    <w:p>
      <w:pPr>
        <w:spacing w:before="0" w:after="0" w:line="408" w:lineRule="exact"/>
        <w:ind w:left="0" w:right="0" w:firstLine="576"/>
        <w:jc w:val="left"/>
      </w:pPr>
      <w:r>
        <w:rPr/>
        <w:t xml:space="preserve">On page 1, beginning on line 2 of the title, after "sites;" strike the remainder of the title and insert "creating a new section; and providing an expiration date."</w:t>
      </w:r>
    </w:p>
    <w:p>
      <w:pPr>
        <w:spacing w:before="0" w:after="0" w:line="408" w:lineRule="exact"/>
        <w:ind w:left="0" w:right="0" w:firstLine="576"/>
        <w:jc w:val="left"/>
      </w:pPr>
      <w:r>
        <w:rPr>
          <w:u w:val="single"/>
        </w:rPr>
        <w:t xml:space="preserve">EFFECT:</w:t>
      </w:r>
      <w:r>
        <w:rPr/>
        <w:t xml:space="preserve"> Replaces the content of the PSSB with direction to specified state agencies to: (1) Update existing guidance and informational resources to industry and governments for planning and permitting commercial marine net pen aquaculture of Atlantic salmon or other nonnative finfish; and (2) analyze certain impacts from ending commercial marine net pen aquaculture of Atlantic salmon or other nonnative finfish in Washington concurrent with the expiration of applicable state-owned aquatic land leases in effect on the effective date of this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58e9ec430a4781" /></Relationships>
</file>