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228fafc6d40f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5647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S1994.1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5647</w:t>
      </w:r>
      <w:r>
        <w:t xml:space="preserve"> -</w:t>
      </w:r>
      <w:r>
        <w:t xml:space="preserve"> </w:t>
        <w:t xml:space="preserve">S AMD TO S AMD (S-1896.2/17)</w:t>
      </w:r>
      <w:r>
        <w:t xml:space="preserve"> </w:t>
      </w:r>
      <w:r>
        <w:rPr>
          <w:b/>
        </w:rPr>
        <w:t xml:space="preserve">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03/07/2017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10 of the amendment, after "housing" strike all material through "areas"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22 of the amendment, strike all of subsection (6)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 of the amendment, after "low-income" strike all material through "areas" on line 2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loan program is not limited to residents in rural areas.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651cc535a47ce" /></Relationships>
</file>