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d3947d6ee64675" /></Relationships>
</file>

<file path=word/document.xml><?xml version="1.0" encoding="utf-8"?>
<w:document xmlns:w="http://schemas.openxmlformats.org/wordprocessingml/2006/main">
  <w:body>
    <w:p>
      <w:r>
        <w:rPr>
          <w:b/>
        </w:rPr>
        <w:r>
          <w:rPr/>
          <w:t xml:space="preserve">5624</w:t>
        </w:r>
      </w:r>
      <w:r>
        <w:rPr>
          <w:b/>
        </w:rPr>
        <w:t xml:space="preserve"> </w:t>
        <w:t xml:space="preserve">AMS</w:t>
      </w:r>
      <w:r>
        <w:rPr>
          <w:b/>
        </w:rPr>
        <w:t xml:space="preserve"> </w:t>
        <w:r>
          <w:rPr/>
          <w:t xml:space="preserve">HASE</w:t>
        </w:r>
      </w:r>
      <w:r>
        <w:rPr>
          <w:b/>
        </w:rPr>
        <w:t xml:space="preserve"> </w:t>
        <w:r>
          <w:rPr/>
          <w:t xml:space="preserve">S2024.1</w:t>
        </w:r>
      </w:r>
      <w:r>
        <w:rPr>
          <w:b/>
        </w:rPr>
        <w:t xml:space="preserve"> - NOT FOR FLOOR USE</w:t>
      </w:r>
    </w:p>
    <w:p>
      <w:pPr>
        <w:ind w:left="0" w:right="0" w:firstLine="576"/>
      </w:pPr>
    </w:p>
    <w:p>
      <w:pPr>
        <w:spacing w:before="480" w:after="0" w:line="408" w:lineRule="exact"/>
      </w:pPr>
      <w:r>
        <w:rPr>
          <w:b/>
          <w:u w:val="single"/>
        </w:rPr>
        <w:t xml:space="preserve">SB 5624</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shall:</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shall be provided at the time service is established and either included as a prominent part of each customer's bill or in a written notice mailed to each customer at least once a year thereafter. Required disclosures shall be provided without charge, in writing using plain language that is understandable to an ordinary customer, and presented in a form that is clear and conspicuous</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Provide written or electronic notice of public hearings where changes in electricity rates will be considered or approved by the commission or governing body, in a form and manner as may be required by the commission or governing body;</w:t>
      </w:r>
    </w:p>
    <w:p>
      <w:pPr>
        <w:spacing w:before="0" w:after="0" w:line="408" w:lineRule="exact"/>
        <w:ind w:left="0" w:right="0" w:firstLine="576"/>
        <w:jc w:val="left"/>
      </w:pPr>
      <w:r>
        <w:rPr>
          <w:u w:val="single"/>
        </w:rPr>
        <w:t xml:space="preserve">(3) Disclose on each billing statement the rate of tax imposed upon the electric utility under RCW 35.21.870, if any, and the amount of such tax to be paid directly by the retail electric customer through the billing statement;</w:t>
      </w:r>
    </w:p>
    <w:p>
      <w:pPr>
        <w:spacing w:before="0" w:after="0" w:line="408" w:lineRule="exact"/>
        <w:ind w:left="0" w:right="0" w:firstLine="576"/>
        <w:jc w:val="left"/>
      </w:pPr>
      <w:r>
        <w:rPr>
          <w:u w:val="single"/>
        </w:rPr>
        <w:t xml:space="preserve">(4)</w:t>
      </w:r>
      <w:r>
        <w:rPr/>
        <w:t xml:space="preserve">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480" w:after="0" w:line="408" w:lineRule="exact"/>
      </w:pPr>
      <w:r>
        <w:rPr>
          <w:b/>
          <w:u w:val="single"/>
        </w:rPr>
        <w:t xml:space="preserve">SB 5624</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2 of the title, after "billing;" strike the remainder of the title and insert "and amending RCW 19.29A.030."</w:t>
      </w:r>
    </w:p>
    <w:p>
      <w:pPr>
        <w:spacing w:before="0" w:after="0" w:line="408" w:lineRule="exact"/>
        <w:ind w:left="0" w:right="0" w:firstLine="576"/>
        <w:jc w:val="left"/>
      </w:pPr>
      <w:r>
        <w:rPr>
          <w:u w:val="single"/>
        </w:rPr>
        <w:t xml:space="preserve">EFFECT:</w:t>
      </w:r>
      <w:r>
        <w:rPr/>
        <w:t xml:space="preserve"> Adds that a utility may provide either written or electronic notice, in a form and manner as required by the UTC or governing body, when giving notice of public hearings where changes in electricity rates will be considered or approved by the UTC or governing body.</w:t>
      </w:r>
    </w:p>
    <w:p>
      <w:pPr>
        <w:spacing w:before="0" w:after="0" w:line="408" w:lineRule="exact"/>
        <w:ind w:left="0" w:right="0" w:firstLine="576"/>
        <w:jc w:val="left"/>
      </w:pPr>
      <w:r>
        <w:rPr/>
        <w:t xml:space="preserve">Requires that a utility must disclose on each billing statement the local tax rate imposed by a city or town on the utility for electricity or natural gas.</w:t>
      </w:r>
    </w:p>
    <w:p>
      <w:pPr>
        <w:spacing w:before="0" w:after="0" w:line="408" w:lineRule="exact"/>
        <w:ind w:left="0" w:right="0" w:firstLine="576"/>
        <w:jc w:val="left"/>
      </w:pPr>
      <w:r>
        <w:rPr/>
        <w:t xml:space="preserve">Removes the requirement that a billing statement sent to retail electric customers must include an itemized listing of all rates and charges including the amount of federal, state, and local taxes collected by the utility.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076b526e5b43b7" /></Relationships>
</file>