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5d24f65284a6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5517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S1727.1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5517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</w:t>
      </w:r>
    </w:p>
    <w:p>
      <w:pPr>
        <w:jc w:val="right"/>
      </w:pPr>
      <w:r>
        <w:rPr>
          <w:b/>
        </w:rPr>
        <w:t xml:space="preserve">ADOPTED 02/28/2017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19, after "planning." strike all material through "rail." on page 2, line 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beginning on line 20, after "areas" strike "</w:t>
      </w:r>
      <w:r>
        <w:rPr>
          <w:u w:val="single"/>
        </w:rPr>
        <w:t xml:space="preserve">, and freight rail dependent uses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25, after "for" insert "</w:t>
      </w:r>
      <w:r>
        <w:rPr>
          <w:u w:val="single"/>
        </w:rPr>
        <w:t xml:space="preserve">freight rail dependent uses,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statistical information from the intent section. Allows counties to provide for freight rail dependent uses in rural areas, rather than requiring counties to do so.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97f8435f44756" /></Relationships>
</file>