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6b8e0bdd1144f22" /></Relationships>
</file>

<file path=word/document.xml><?xml version="1.0" encoding="utf-8"?>
<w:document xmlns:w="http://schemas.openxmlformats.org/wordprocessingml/2006/main">
  <w:body>
    <w:p>
      <w:r>
        <w:rPr>
          <w:b/>
        </w:rPr>
        <w:r>
          <w:rPr/>
          <w:t xml:space="preserve">2332.E</w:t>
        </w:r>
      </w:r>
      <w:r>
        <w:rPr>
          <w:b/>
        </w:rPr>
        <w:t xml:space="preserve"> </w:t>
        <w:t xml:space="preserve">AMS</w:t>
      </w:r>
      <w:r>
        <w:rPr>
          <w:b/>
        </w:rPr>
        <w:t xml:space="preserve"> </w:t>
        <w:r>
          <w:rPr/>
          <w:t xml:space="preserve">LBRC</w:t>
        </w:r>
      </w:r>
      <w:r>
        <w:rPr>
          <w:b/>
        </w:rPr>
        <w:t xml:space="preserve"> </w:t>
        <w:r>
          <w:rPr/>
          <w:t xml:space="preserve">S5370.1</w:t>
        </w:r>
      </w:r>
      <w:r>
        <w:rPr>
          <w:b/>
        </w:rPr>
        <w:t xml:space="preserve"> - NOT FOR FLOOR USE</w:t>
      </w:r>
    </w:p>
    <w:p>
      <w:pPr>
        <w:ind w:left="0" w:right="0" w:firstLine="576"/>
      </w:pPr>
      <w:r>
        <w:rPr/>
        <w:t xml:space="preserve"> </w:t>
      </w:r>
    </w:p>
    <w:p>
      <w:pPr>
        <w:spacing w:before="480" w:after="0" w:line="408" w:lineRule="exact"/>
      </w:pPr>
      <w:r>
        <w:rPr>
          <w:b/>
          <w:u w:val="single"/>
        </w:rPr>
        <w:t xml:space="preserve">EHB 2332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Labor &amp; Commerce</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071</w:t>
      </w:r>
      <w:r>
        <w:rPr/>
        <w:t xml:space="preserve"> and 2005 c 369 s 9 are each amended to read as follows:</w:t>
      </w:r>
    </w:p>
    <w:p>
      <w:pPr>
        <w:spacing w:before="0" w:after="0" w:line="408" w:lineRule="exact"/>
        <w:ind w:left="0" w:right="0" w:firstLine="576"/>
        <w:jc w:val="left"/>
      </w:pPr>
      <w:r>
        <w:rPr/>
        <w:t xml:space="preserve">(1)</w:t>
      </w:r>
      <w:r>
        <w:rPr>
          <w:u w:val="single"/>
        </w:rPr>
        <w:t xml:space="preserve">(a)</w:t>
      </w:r>
      <w:r>
        <w:rPr/>
        <w:t xml:space="preserve"> The legislature recognizes that some individuals in this state are problem or pathological gamblers. Because the state promotes and regulates gambling through the activities of the state lottery commission, the Washington horse racing commission, and the Washington state gambling commission, the state has the responsibility to continue to provide resources for the support of services for problem and pathological gamblers. Therefore, the Washington state gambling commission, the Washington horse racing commission, and the state lottery commission shall jointly develop informational signs concerning problem and pathological gambling which include a toll-free hotline number for problem and pathological gamblers. The signs shall be placed in the establishments of gambling licensees, horse racing licensees, and lottery retailers. In addition, the Washington state gambling commission, the Washington horse racing commission, and the state lottery commission may also contract with other qualified entities to provide public awareness, training, and other services to ensure the intent of this section is fulfilled.</w:t>
      </w:r>
    </w:p>
    <w:p>
      <w:pPr>
        <w:spacing w:before="0" w:after="0" w:line="408" w:lineRule="exact"/>
        <w:ind w:left="0" w:right="0" w:firstLine="576"/>
        <w:jc w:val="left"/>
      </w:pPr>
      <w:r>
        <w:rPr>
          <w:u w:val="single"/>
        </w:rPr>
        <w:t xml:space="preserve">(b) The legislature finds that problem and pathological gambling continues to negatively impact individuals and families in this state. It is estimated that about five percent of adults in the state will experience problem or pathological gambling behaviors in their lifetime. Previous and ongoing efforts to prevent and assist people in treating problem and pathological gambling have proven beneficial, such as increasing public awareness, funding treatment services for individuals, and requiring informational signs in gambling establishments that include a toll-free hotline number for problem and pathological gamblers. However, people and families facing problem or pathological gambling issues will further benefit from the availability of a uniform self-exclusion program where people may voluntarily exclude themselves from gambling at multiple gambling establishments by submitting one self-exclusion form to the state from one location. It is the intent of subsection (3) of this section to establish such a uniform self-exclusion program to assist people in preventing or ending problem or pathological gambling behaviors permanently. </w:t>
      </w:r>
    </w:p>
    <w:p>
      <w:pPr>
        <w:spacing w:before="0" w:after="0" w:line="408" w:lineRule="exact"/>
        <w:ind w:left="0" w:right="0" w:firstLine="576"/>
        <w:jc w:val="left"/>
      </w:pPr>
      <w:r>
        <w:rPr/>
        <w:t xml:space="preserve">(2)(a) During any period in which RCW 82.04.285(2) is in effect, the commission may not increase fees payable by licensees under its jurisdiction for the purpose of funding services for problem and pathological gambling. Any fee imposed or increased by the commission, for the purpose of funding these services, before July 1, 2005, </w:t>
      </w:r>
      <w:r>
        <w:t>((</w:t>
      </w:r>
      <w:r>
        <w:rPr>
          <w:strike/>
        </w:rPr>
        <w:t xml:space="preserve">shall have</w:t>
      </w:r>
      <w:r>
        <w:t>))</w:t>
      </w:r>
      <w:r>
        <w:rPr/>
        <w:t xml:space="preserve"> </w:t>
      </w:r>
      <w:r>
        <w:rPr>
          <w:u w:val="single"/>
        </w:rPr>
        <w:t xml:space="preserve">has</w:t>
      </w:r>
      <w:r>
        <w:rPr/>
        <w:t xml:space="preserve"> no force and effect after July 1, 2005.</w:t>
      </w:r>
    </w:p>
    <w:p>
      <w:pPr>
        <w:spacing w:before="0" w:after="0" w:line="408" w:lineRule="exact"/>
        <w:ind w:left="0" w:right="0" w:firstLine="576"/>
        <w:jc w:val="left"/>
      </w:pPr>
      <w:r>
        <w:rPr/>
        <w:t xml:space="preserve">(b) During any period in which RCW 82.04.285(2) is not in effect:</w:t>
      </w:r>
    </w:p>
    <w:p>
      <w:pPr>
        <w:spacing w:before="0" w:after="0" w:line="408" w:lineRule="exact"/>
        <w:ind w:left="0" w:right="0" w:firstLine="576"/>
        <w:jc w:val="left"/>
      </w:pPr>
      <w:r>
        <w:rPr/>
        <w:t xml:space="preserve">(i) The commission, the Washington state horse racing commission, and the state lottery commission may contract for services, in addition to those authorized in subsection (1) of this section, to assist in providing for treatment of problem and pathological gambling; and</w:t>
      </w:r>
    </w:p>
    <w:p>
      <w:pPr>
        <w:spacing w:before="0" w:after="0" w:line="408" w:lineRule="exact"/>
        <w:ind w:left="0" w:right="0" w:firstLine="576"/>
        <w:jc w:val="left"/>
      </w:pPr>
      <w:r>
        <w:rPr/>
        <w:t xml:space="preserve">(ii) The commission may increase fees payable by </w:t>
      </w:r>
      <w:r>
        <w:t>((</w:t>
      </w:r>
      <w:r>
        <w:rPr>
          <w:strike/>
        </w:rPr>
        <w:t xml:space="preserve">licenses [licensees]</w:t>
      </w:r>
      <w:r>
        <w:t>))</w:t>
      </w:r>
      <w:r>
        <w:rPr/>
        <w:t xml:space="preserve"> </w:t>
      </w:r>
      <w:r>
        <w:rPr>
          <w:u w:val="single"/>
        </w:rPr>
        <w:t xml:space="preserve">licensees</w:t>
      </w:r>
      <w:r>
        <w:rPr/>
        <w:t xml:space="preserve"> under its jurisdiction for the purpose of funding the services authorized in this section for problem and pathological gamblers.</w:t>
      </w:r>
    </w:p>
    <w:p>
      <w:pPr>
        <w:spacing w:before="0" w:after="0" w:line="408" w:lineRule="exact"/>
        <w:ind w:left="0" w:right="0" w:firstLine="576"/>
        <w:jc w:val="left"/>
      </w:pPr>
      <w:r>
        <w:rPr>
          <w:u w:val="single"/>
        </w:rPr>
        <w:t xml:space="preserve">(3) By June 30, 2020, the commission must adopt rules establishing a self-exclusion program for problem and pathological gamblers. The commission has discretion in establishing the scope and requirements of the self-exclusion program. However, the program must include, at a minimum, the following:</w:t>
      </w:r>
    </w:p>
    <w:p>
      <w:pPr>
        <w:spacing w:before="0" w:after="0" w:line="408" w:lineRule="exact"/>
        <w:ind w:left="0" w:right="0" w:firstLine="576"/>
        <w:jc w:val="left"/>
      </w:pPr>
      <w:r>
        <w:rPr>
          <w:u w:val="single"/>
        </w:rPr>
        <w:t xml:space="preserve">(a) A process for a person who believes the person is or may be a problem or pathological gambler to voluntarily exclude themselves from gambling at some or all gambling establishments licensed by the commission; and </w:t>
      </w:r>
    </w:p>
    <w:p>
      <w:pPr>
        <w:spacing w:before="0" w:after="0" w:line="408" w:lineRule="exact"/>
        <w:ind w:left="0" w:right="0" w:firstLine="576"/>
        <w:jc w:val="left"/>
      </w:pPr>
      <w:r>
        <w:rPr>
          <w:u w:val="single"/>
        </w:rPr>
        <w:t xml:space="preserve">(b) A process for casinos owned or operated by Indian tribes or tribal enterprises to voluntarily participate in the self-exclusion program, so that ultimately a person who is or may be a problem or pathological gambler may self-exclude themselves from gambling at some or all casinos and state-licensed gambling establishments in the state, no matter who owns or operates the casino or state-licensed gambling establishment, through a single request.</w:t>
      </w:r>
    </w:p>
    <w:p>
      <w:pPr>
        <w:spacing w:before="0" w:after="0" w:line="408" w:lineRule="exact"/>
        <w:ind w:left="0" w:right="0" w:firstLine="576"/>
        <w:jc w:val="left"/>
      </w:pPr>
      <w:r>
        <w:rPr>
          <w:u w:val="single"/>
        </w:rPr>
        <w:t xml:space="preserve">(4)(a) The commission may not contract with a third party to administer the self-exclusion program created pursuant to this section.</w:t>
      </w:r>
    </w:p>
    <w:p>
      <w:pPr>
        <w:spacing w:before="0" w:after="0" w:line="408" w:lineRule="exact"/>
        <w:ind w:left="0" w:right="0" w:firstLine="576"/>
        <w:jc w:val="left"/>
      </w:pPr>
      <w:r>
        <w:rPr>
          <w:u w:val="single"/>
        </w:rPr>
        <w:t xml:space="preserve">(b) Any personal information collected, stored, or accessed under the self-exclusion program created pursuant to this section may not be sold, monetized, or traded by the commission or any person or business authorized to access personal information through the program.</w:t>
      </w:r>
    </w:p>
    <w:p>
      <w:pPr>
        <w:spacing w:before="0" w:after="0" w:line="408" w:lineRule="exact"/>
        <w:ind w:left="0" w:right="0" w:firstLine="576"/>
        <w:jc w:val="left"/>
      </w:pPr>
      <w:r>
        <w:rPr>
          <w:u w:val="single"/>
        </w:rPr>
        <w:t xml:space="preserve">(c) Any personal information collected, stored, or accessed under the self-exclusion program may not be used for any purpose other than the administration of the self-exclusion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2017 3rd sp.s. c 6 s 222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children, youth, and families;</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 or</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as the child or if the family member or guardian resides at the same address as the child and disclosure of the family member's or guardian's information would result in disclosure of the personal information exempted under (a)(i) and (ii) of this subsection.</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w:t>
      </w:r>
      <w:r>
        <w:rPr>
          <w:u w:val="single"/>
        </w:rPr>
        <w:t xml:space="preserve">(i)</w:t>
      </w:r>
      <w:r>
        <w:rPr/>
        <w:t xml:space="preserve">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Information provided under RCW 46.20.111 that indicates that an applicant declined to register with the selective service system.</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w:t>
      </w:r>
      <w:r>
        <w:rPr>
          <w:u w:val="single"/>
        </w:rPr>
        <w:t xml:space="preserve">.</w:t>
      </w:r>
    </w:p>
    <w:p>
      <w:pPr>
        <w:spacing w:before="0" w:after="0" w:line="408" w:lineRule="exact"/>
        <w:ind w:left="0" w:right="0" w:firstLine="576"/>
        <w:jc w:val="left"/>
      </w:pPr>
      <w:r>
        <w:rPr>
          <w:u w:val="single"/>
        </w:rPr>
        <w:t xml:space="preserve">(b) Upon request by the legislature, the department of licensing must provide a report to the legislature containing all of the information in (a)(iii) and (iv) of this subsection (7) that is subject to public disclosure</w:t>
      </w:r>
      <w:r>
        <w:rPr/>
        <w:t xml:space="preserve">;</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r>
        <w:t>((</w:t>
      </w:r>
      <w:r>
        <w:rPr>
          <w:strike/>
        </w:rPr>
        <w:t xml:space="preserve">.</w:t>
      </w:r>
    </w:p>
    <w:p>
      <w:pPr>
        <w:spacing w:before="0" w:after="0" w:line="408" w:lineRule="exact"/>
        <w:ind w:left="0" w:right="0" w:firstLine="576"/>
        <w:jc w:val="left"/>
      </w:pPr>
      <w:r>
        <w:rPr>
          <w:strike/>
        </w:rPr>
        <w:t xml:space="preserve">Upon request by the legislature, the department of licensing shall provide a report to the legislature containing all of the information in subsection (7)(c) and (d) of this section that is subject to public disclosure; and</w:t>
      </w:r>
      <w:r>
        <w:t>))</w:t>
      </w:r>
      <w:r>
        <w:rPr>
          <w:u w:val="single"/>
        </w:rPr>
        <w:t xml:space="preserve">;</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w:t>
      </w:r>
      <w:r>
        <w:rPr>
          <w:u w:val="single"/>
        </w:rPr>
        <w:t xml:space="preserve">; and</w:t>
      </w:r>
    </w:p>
    <w:p>
      <w:pPr>
        <w:spacing w:before="0" w:after="0" w:line="408" w:lineRule="exact"/>
        <w:ind w:left="0" w:right="0" w:firstLine="576"/>
        <w:jc w:val="left"/>
      </w:pPr>
      <w:r>
        <w:rPr>
          <w:u w:val="single"/>
        </w:rPr>
        <w:t xml:space="preserve">(10) All information submitted by a person to the state, either directly or through a state-licensed gambling establishment or casino owned or operated by an Indian tribe or tribal enterprise, as part of the self-exclusion program established in RCW 9.46.071 for people who believe they are or may be a problem or pathological gambler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Pr>
        <w:spacing w:before="480" w:after="0" w:line="408" w:lineRule="exact"/>
      </w:pPr>
      <w:r>
        <w:rPr>
          <w:b/>
          <w:u w:val="single"/>
        </w:rPr>
        <w:t xml:space="preserve">EHB 2332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Labor &amp; Commerce</w:t>
      </w:r>
    </w:p>
    <w:p>
      <w:pPr>
        <w:jc w:val="right"/>
      </w:pPr>
    </w:p>
    <w:p>
      <w:pPr>
        <w:spacing w:before="0" w:after="0" w:line="408" w:lineRule="exact"/>
        <w:ind w:left="0" w:right="0" w:firstLine="576"/>
        <w:jc w:val="left"/>
      </w:pPr>
      <w:r>
        <w:rPr/>
        <w:t xml:space="preserve">On page 1, line 1 of the title, after "addiction;" strike the remainder of the title and insert "amending RCW 9.46.071 and 42.56.230; and providing an effective date."</w:t>
      </w:r>
    </w:p>
    <w:p>
      <w:pPr>
        <w:spacing w:before="0" w:after="0" w:line="408" w:lineRule="exact"/>
        <w:ind w:left="0" w:right="0" w:firstLine="576"/>
        <w:jc w:val="left"/>
      </w:pPr>
      <w:r>
        <w:rPr>
          <w:u w:val="single"/>
        </w:rPr>
        <w:t xml:space="preserve">EFFECT:</w:t>
      </w:r>
      <w:r>
        <w:rPr/>
        <w:t xml:space="preserve"> Modifies the requirement for the self-exclusion program to include a process to self-exclude from some or all gambling establishments and tribal casinos, where there is voluntary participation by Indian tribes or tribal enterprises. Changes the method for self-exclusion to a single request, rather than submitting one form at one location.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57dc66958d477e" /></Relationships>
</file>