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0bd00711d45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2057-S.E2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S6018.1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2ESHB 2057</w:t>
      </w:r>
      <w:r>
        <w:t xml:space="preserve"> -</w:t>
      </w:r>
      <w:r>
        <w:t xml:space="preserve"> </w:t>
        <w:t xml:space="preserve">S AMD TO S AMD (S-5905.2/18)</w:t>
      </w:r>
      <w:r>
        <w:t xml:space="preserve"> </w:t>
      </w:r>
      <w:r>
        <w:rPr>
          <w:b/>
        </w:rPr>
        <w:t xml:space="preserve">819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 of the amendment, after "</w:t>
      </w:r>
      <w:r>
        <w:rPr>
          <w:u w:val="single"/>
        </w:rPr>
        <w:t xml:space="preserve">and</w:t>
      </w:r>
      <w:r>
        <w:rPr/>
        <w:t xml:space="preserve">" insert "</w:t>
      </w:r>
      <w:r>
        <w:rPr>
          <w:u w:val="single"/>
        </w:rPr>
        <w:t xml:space="preserve">, for residential real property,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33 of the amendment, strike "</w:t>
      </w:r>
      <w:r>
        <w:rPr>
          <w:u w:val="single"/>
        </w:rPr>
        <w:t xml:space="preserve">61.24.173</w:t>
      </w:r>
      <w:r>
        <w:rPr/>
        <w:t xml:space="preserve">" and insert "</w:t>
      </w:r>
      <w:r>
        <w:rPr>
          <w:u w:val="single"/>
        </w:rPr>
        <w:t xml:space="preserve">61.24.005(4)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written notice of default for residential real property shall be transmitted by the beneficiary to the borrower. Corrects a statutory reference for foreclosure notices on a commercial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fc60e9924da6" /></Relationships>
</file>