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cb09168f244341" /></Relationships>
</file>

<file path=word/document.xml><?xml version="1.0" encoding="utf-8"?>
<w:document xmlns:w="http://schemas.openxmlformats.org/wordprocessingml/2006/main">
  <w:body>
    <w:p>
      <w:r>
        <w:rPr>
          <w:b/>
        </w:rPr>
        <w:r>
          <w:rPr/>
          <w:t xml:space="preserve">1789-S2</w:t>
        </w:r>
      </w:r>
      <w:r>
        <w:rPr>
          <w:b/>
        </w:rPr>
        <w:t xml:space="preserve"> </w:t>
        <w:t xml:space="preserve">AMS</w:t>
      </w:r>
      <w:r>
        <w:rPr>
          <w:b/>
        </w:rPr>
        <w:t xml:space="preserve"> </w:t>
        <w:r>
          <w:rPr/>
          <w:t xml:space="preserve">LAW</w:t>
        </w:r>
      </w:r>
      <w:r>
        <w:rPr>
          <w:b/>
        </w:rPr>
        <w:t xml:space="preserve"> </w:t>
        <w:r>
          <w:rPr/>
          <w:t xml:space="preserve">S2370.3</w:t>
        </w:r>
      </w:r>
      <w:r>
        <w:rPr>
          <w:b/>
        </w:rPr>
        <w:t xml:space="preserve"> - NOT FOR FLOOR USE</w:t>
      </w:r>
    </w:p>
    <w:p>
      <w:pPr>
        <w:ind w:left="0" w:right="0" w:firstLine="576"/>
      </w:pPr>
    </w:p>
    <w:p>
      <w:pPr>
        <w:spacing w:before="480" w:after="0" w:line="408" w:lineRule="exact"/>
      </w:pPr>
      <w:r>
        <w:rPr>
          <w:b/>
          <w:u w:val="single"/>
        </w:rPr>
        <w:t xml:space="preserve">2SHB 1789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by December 1, 2017, the sentencing guidelines commission shall contract for the services of an external consultant to evaluate the state's sentencing laws and practices. The consultant must have demonstrated experience and knowledge in Washington's sentencing system and other sentencing systems and models in other states and nations. The consultant must have demonstrated experience in conducting significant research studies. The evaluation must include:</w:t>
      </w:r>
    </w:p>
    <w:p>
      <w:pPr>
        <w:spacing w:before="0" w:after="0" w:line="408" w:lineRule="exact"/>
        <w:ind w:left="0" w:right="0" w:firstLine="576"/>
        <w:jc w:val="left"/>
      </w:pPr>
      <w:r>
        <w:rPr/>
        <w:t xml:space="preserve">(a) A review of the sentencing reform act of 1981 and any changes made to the sentencing reform act since that time;</w:t>
      </w:r>
    </w:p>
    <w:p>
      <w:pPr>
        <w:spacing w:before="0" w:after="0" w:line="408" w:lineRule="exact"/>
        <w:ind w:left="0" w:right="0" w:firstLine="576"/>
        <w:jc w:val="left"/>
      </w:pPr>
      <w:r>
        <w:rPr/>
        <w:t xml:space="preserve">(b) Recommendations regarding how sentencing laws in Washington can be simplified without risking public safety; and</w:t>
      </w:r>
    </w:p>
    <w:p>
      <w:pPr>
        <w:spacing w:before="0" w:after="0" w:line="408" w:lineRule="exact"/>
        <w:ind w:left="0" w:right="0" w:firstLine="576"/>
        <w:jc w:val="left"/>
      </w:pPr>
      <w:r>
        <w:rPr/>
        <w:t xml:space="preserve">(c) Recommendations for establishing an ongoing review of sentencing laws and practices.</w:t>
      </w:r>
    </w:p>
    <w:p>
      <w:pPr>
        <w:spacing w:before="0" w:after="0" w:line="408" w:lineRule="exact"/>
        <w:ind w:left="0" w:right="0" w:firstLine="576"/>
        <w:jc w:val="left"/>
      </w:pPr>
      <w:r>
        <w:rPr/>
        <w:t xml:space="preserve">(2) The consultant shall complete its evaluation and submit a report to the commission, the joint legislative task force on criminal sentencing under section 2 of this act, the appropriate committees of the legislature, and the governor by September 1, 2018. The contract for services must include a requirement for three briefings before the legislature to take place during the 2018 interim and 2019 regular legislative session, including for the joint legislative task force on sentencing, the house of representatives, and the senate.</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Office of the attorney general;</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Sentencing guidelines commission;</w:t>
      </w:r>
    </w:p>
    <w:p>
      <w:pPr>
        <w:spacing w:before="0" w:after="0" w:line="408" w:lineRule="exact"/>
        <w:ind w:left="0" w:right="0" w:firstLine="576"/>
        <w:jc w:val="left"/>
      </w:pPr>
      <w:r>
        <w:rPr/>
        <w:t xml:space="preserve">(x) Department of corrections;</w:t>
      </w:r>
    </w:p>
    <w:p>
      <w:pPr>
        <w:spacing w:before="0" w:after="0" w:line="408" w:lineRule="exact"/>
        <w:ind w:left="0" w:right="0" w:firstLine="576"/>
        <w:jc w:val="left"/>
      </w:pPr>
      <w:r>
        <w:rPr/>
        <w:t xml:space="preserve">(xi) Superior court judges' association; and</w:t>
      </w:r>
    </w:p>
    <w:p>
      <w:pPr>
        <w:spacing w:before="0" w:after="0" w:line="408" w:lineRule="exact"/>
        <w:ind w:left="0" w:right="0" w:firstLine="576"/>
        <w:jc w:val="left"/>
      </w:pPr>
      <w:r>
        <w:rPr/>
        <w:t xml:space="preserve">(xii) Administrative office of the courts.</w:t>
      </w:r>
    </w:p>
    <w:p>
      <w:pPr>
        <w:spacing w:before="0" w:after="0" w:line="408" w:lineRule="exact"/>
        <w:ind w:left="0" w:right="0" w:firstLine="576"/>
        <w:jc w:val="left"/>
      </w:pPr>
      <w:r>
        <w:rPr/>
        <w:t xml:space="preserve">(3)(a) The task force shall review sentencing laws after consideration of the study under section 1 of this act and the consultant's recommendations. The task force shall review and make recommendations regarding how the sentencing reform act of 1981 can be simplified.</w:t>
      </w:r>
    </w:p>
    <w:p>
      <w:pPr>
        <w:spacing w:before="0" w:after="0" w:line="408" w:lineRule="exact"/>
        <w:ind w:left="0" w:right="0" w:firstLine="576"/>
        <w:jc w:val="left"/>
      </w:pPr>
      <w:r>
        <w:rPr/>
        <w:t xml:space="preserve">(b) The task force shall submit a report, including findings and recommendations, to the governor and the appropriate committees of the legislature by December 1, 2019.</w:t>
      </w:r>
    </w:p>
    <w:p>
      <w:pPr>
        <w:spacing w:before="0" w:after="0" w:line="408" w:lineRule="exact"/>
        <w:ind w:left="0" w:right="0" w:firstLine="576"/>
        <w:jc w:val="left"/>
      </w:pPr>
      <w:r>
        <w:rPr/>
        <w:t xml:space="preserve">(4) The legislative membership shall convene the initial meeting of the task force no later than September 2018.</w:t>
      </w:r>
    </w:p>
    <w:p>
      <w:pPr>
        <w:spacing w:before="0" w:after="0" w:line="408" w:lineRule="exact"/>
        <w:ind w:left="0" w:right="0" w:firstLine="576"/>
        <w:jc w:val="left"/>
      </w:pPr>
      <w:r>
        <w:rPr/>
        <w:t xml:space="preserve">(5) The legislative members of the task force shall choose the task force's cochairs, which must include one senator and one representative from among the legislative membership of the task force.</w:t>
      </w:r>
    </w:p>
    <w:p>
      <w:pPr>
        <w:spacing w:before="0" w:after="0" w:line="408" w:lineRule="exact"/>
        <w:ind w:left="0" w:right="0" w:firstLine="576"/>
        <w:jc w:val="left"/>
      </w:pPr>
      <w:r>
        <w:rPr/>
        <w:t xml:space="preserve">(6) Staff support for the task force must be provided by senate committee services and the house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(9) This section expires July 1, 2020."</w:t>
      </w:r>
    </w:p>
    <w:p>
      <w:pPr>
        <w:spacing w:before="480" w:after="0" w:line="408" w:lineRule="exact"/>
      </w:pPr>
      <w:r>
        <w:rPr>
          <w:b/>
          <w:u w:val="single"/>
        </w:rPr>
        <w:t xml:space="preserve">2SHB 1789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"offenders;" strike the remainder of the title and insert "creating new sections;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54f3584ae74976" /></Relationships>
</file>