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0a3dd1314fd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1566-S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WM</w:t>
        </w:r>
      </w:r>
      <w:r>
        <w:rPr>
          <w:b/>
        </w:rPr>
        <w:t xml:space="preserve"> </w:t>
        <w:r>
          <w:rPr/>
          <w:t xml:space="preserve">S2421.1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1566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Ways &amp; Means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twelve months with respect to any individual </w:t>
      </w:r>
      <w:r>
        <w:rPr>
          <w:u w:val="single"/>
        </w:rPr>
        <w:t xml:space="preserve">except that this twelve-month limit may be increased to twenty-four months subject to funding appropriated specifically for this purpose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1566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Ways &amp; Means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"program;" strike the remainder of the title and insert "and amending RCW 74.08A.250."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• Subject to funding appropriated specifically for this purpose, allows WorkFirst participants to be extended from 12 months to 24 months.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• Removes the JLARC review of the impact of extending the amount of vocational education training.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536064ff4430" /></Relationships>
</file>