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e68aa8f95849ac" /></Relationships>
</file>

<file path=word/document.xml><?xml version="1.0" encoding="utf-8"?>
<w:document xmlns:w="http://schemas.openxmlformats.org/wordprocessingml/2006/main">
  <w:body>
    <w:p>
      <w:r>
        <w:rPr>
          <w:b/>
        </w:rPr>
        <w:r>
          <w:rPr/>
          <w:t xml:space="preserve">1524-S</w:t>
        </w:r>
      </w:r>
      <w:r>
        <w:rPr>
          <w:b/>
        </w:rPr>
        <w:t xml:space="preserve"> </w:t>
        <w:t xml:space="preserve">AMS</w:t>
      </w:r>
      <w:r>
        <w:rPr>
          <w:b/>
        </w:rPr>
        <w:t xml:space="preserve"> </w:t>
        <w:r>
          <w:rPr/>
          <w:t xml:space="preserve">WM</w:t>
        </w:r>
      </w:r>
      <w:r>
        <w:rPr>
          <w:b/>
        </w:rPr>
        <w:t xml:space="preserve"> </w:t>
        <w:r>
          <w:rPr/>
          <w:t xml:space="preserve">S5577.1</w:t>
        </w:r>
      </w:r>
      <w:r>
        <w:rPr>
          <w:b/>
        </w:rPr>
        <w:t xml:space="preserve"> - NOT FOR FLOOR USE</w:t>
      </w:r>
    </w:p>
    <w:p>
      <w:pPr>
        <w:ind w:left="0" w:right="0" w:firstLine="576"/>
      </w:pPr>
      <w:r>
        <w:rPr/>
        <w:t xml:space="preserve"> </w:t>
      </w:r>
    </w:p>
    <w:p>
      <w:pPr>
        <w:spacing w:before="480" w:after="0" w:line="408" w:lineRule="exact"/>
      </w:pPr>
      <w:r>
        <w:rPr>
          <w:b/>
          <w:u w:val="single"/>
        </w:rPr>
        <w:t xml:space="preserve">SHB 1524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courts remove a defendant's or respondent's case from the criminal and civil court traditional trial track and allow those defendants or respondents the opportunity to obtain treatment services to address particular issues that may have contributed to the conduct that led to their arrest or other issues before the court. Such courts, by focusing on specific individuals' needs, provide treatment for the issues presented and ensure rapid and appropriate accountability for program violations, which decreases recidivism, improves the safety of the community, and improves the life of the program participant and the lives of the participant's family members by decreasing the severity and frequency of the specific behavior addressed by the therapeutic court. Therefore, the legislature finds compelling the research conducted by the Washington state institute for public policy and the research and data analysis division of the department of social and health services showing that providing recovery support services to clients in drug courts creates a benefit to the state of approximately seven dollars and sixty cents in reduced public expenditures and reduced costs of victimization for each dollar spent. Therefore, it is the intent of the legislature to allow the use of a portion of the criminal justice treatment account to provide such services to foster increased success in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2017 3rd sp.s. c 1 s 981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w:t>
      </w:r>
      <w:r>
        <w:rPr>
          <w:u w:val="single"/>
        </w:rPr>
        <w:t xml:space="preserve">Amounts provided in this subsection must be used for treatment and recovery support services for criminally involved offenders and authorization of these services shall not be subject to determinations of medical necessity.</w:t>
      </w:r>
      <w:r>
        <w:rPr/>
        <w:t xml:space="preserve">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During the 2017-2019 fiscal biennium, the legislature may direct the state treasurer to make transfers of moneys in the criminal justice treatment account to the state general fund. It is the intent of the legislature to continue</w:t>
      </w:r>
      <w:r>
        <w:t>((</w:t>
      </w:r>
      <w:r>
        <w:rPr>
          <w:strike/>
        </w:rPr>
        <w:t xml:space="preserve">, in future biennia,</w:t>
      </w:r>
      <w:r>
        <w:t>))</w:t>
      </w:r>
      <w:r>
        <w:rPr/>
        <w:t xml:space="preserve"> </w:t>
      </w:r>
      <w:r>
        <w:rPr>
          <w:u w:val="single"/>
        </w:rPr>
        <w:t xml:space="preserve">in the 2019-2021 biennium</w:t>
      </w:r>
      <w:r>
        <w:rPr/>
        <w:t xml:space="preserve">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w:t>
      </w:r>
      <w:r>
        <w:t>((</w:t>
      </w:r>
      <w:r>
        <w:rPr>
          <w:strike/>
        </w:rPr>
        <w:t xml:space="preserve">but does not include the following services: Housing other than that provided as part of an inpatient substance use disorder treatment program, vocational training, and mental health counseling</w:t>
      </w:r>
      <w:r>
        <w:t>))</w:t>
      </w:r>
      <w:r>
        <w:rPr/>
        <w:t xml:space="preserve"> </w:t>
      </w:r>
      <w:r>
        <w:rPr>
          <w:u w:val="single"/>
        </w:rPr>
        <w:t xml:space="preserve">including but not limited to the recovery support and other programmatic elements outlined in RCW 2.30.030 authorizing therapeutic courts</w:t>
      </w:r>
      <w:r>
        <w:rPr/>
        <w:t xml:space="preserve">; and</w:t>
      </w:r>
    </w:p>
    <w:p>
      <w:pPr>
        <w:spacing w:before="0" w:after="0" w:line="408" w:lineRule="exact"/>
        <w:ind w:left="0" w:right="0" w:firstLine="576"/>
        <w:jc w:val="left"/>
      </w:pPr>
      <w:r>
        <w:rPr/>
        <w:t xml:space="preserve">(b) "Treatment support" </w:t>
      </w:r>
      <w:r>
        <w:t>((</w:t>
      </w:r>
      <w:r>
        <w:rPr>
          <w:strike/>
        </w:rPr>
        <w:t xml:space="preserve">means</w:t>
      </w:r>
      <w:r>
        <w:t>))</w:t>
      </w:r>
      <w:r>
        <w:rPr/>
        <w:t xml:space="preserve"> </w:t>
      </w:r>
      <w:r>
        <w:rPr>
          <w:u w:val="single"/>
        </w:rPr>
        <w:t xml:space="preserve">includes</w:t>
      </w:r>
      <w:r>
        <w:rPr/>
        <w:t xml:space="preserve">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rPr>
          <w:u w:val="single"/>
        </w:rPr>
        <w:t xml:space="preserve">For the fiscal year beginning July 1, 2005, and each subsequent fiscal year, the state treasurer shall transfer eight million two hundred fifty thousand dollars from the general fund to the criminal justice treatment account, divided into four equal quarterly payments.</w:t>
      </w:r>
      <w:r>
        <w:rPr/>
        <w:t xml:space="preserve">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w:t>
      </w:r>
      <w:r>
        <w:t>((</w:t>
      </w:r>
      <w:r>
        <w:rPr>
          <w:strike/>
        </w:rPr>
        <w:t xml:space="preserve">,</w:t>
      </w:r>
      <w:r>
        <w:t>))</w:t>
      </w:r>
      <w:r>
        <w:rPr/>
        <w:t xml:space="preserve"> </w:t>
      </w:r>
      <w:r>
        <w:rPr>
          <w:u w:val="single"/>
        </w:rPr>
        <w:t xml:space="preserve">and</w:t>
      </w:r>
      <w:r>
        <w:rPr/>
        <w:t xml:space="preserve"> treatment support services</w:t>
      </w:r>
      <w:r>
        <w:t>((</w:t>
      </w:r>
      <w:r>
        <w:rPr>
          <w:strike/>
        </w:rPr>
        <w:t xml:space="preserve">, and for the administrative and overhead costs associated with the operation of a drug court.</w:t>
      </w:r>
    </w:p>
    <w:p>
      <w:pPr>
        <w:spacing w:before="0" w:after="0" w:line="408" w:lineRule="exact"/>
        <w:ind w:left="0" w:right="0" w:firstLine="576"/>
        <w:jc w:val="left"/>
      </w:pPr>
      <w:r>
        <w:rPr>
          <w:strike/>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strike/>
        </w:rPr>
        <w:t xml:space="preserve">(b)</w:t>
      </w:r>
      <w:r>
        <w:t>))</w:t>
      </w:r>
      <w:r>
        <w:rPr>
          <w:u w:val="single"/>
        </w:rPr>
        <w:t xml:space="preserve">.</w:t>
      </w:r>
      <w:r>
        <w:rPr/>
        <w:t xml:space="preserve">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t>((</w:t>
      </w:r>
      <w:r>
        <w:rPr>
          <w:strike/>
        </w:rPr>
        <w:t xml:space="preserve">(10) The authority under this section to use funds from the criminal justice treatment account for the administrative and overhead costs associated with the operation of a drug court expires June 30, 2015.</w:t>
      </w:r>
      <w:r>
        <w:t>))</w:t>
      </w:r>
      <w:r>
        <w:rPr/>
        <w:t xml:space="preserve">"</w:t>
      </w:r>
    </w:p>
    <w:p>
      <w:pPr>
        <w:spacing w:before="480" w:after="0" w:line="408" w:lineRule="exact"/>
      </w:pPr>
      <w:r>
        <w:rPr>
          <w:b/>
          <w:u w:val="single"/>
        </w:rPr>
        <w:t xml:space="preserve">SHB 1524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03/02/2018</w:t>
      </w:r>
    </w:p>
    <w:p>
      <w:pPr>
        <w:spacing w:before="0" w:after="0" w:line="408" w:lineRule="exact"/>
        <w:ind w:left="0" w:right="0" w:firstLine="576"/>
        <w:jc w:val="left"/>
      </w:pPr>
      <w:r>
        <w:rPr/>
        <w:t xml:space="preserve">On page 1, line 1 of the title, after "courts;" strike the remainder of the title and insert "amending RCW 71.24.580; and creating a new section."</w:t>
      </w:r>
    </w:p>
    <w:p>
      <w:pPr>
        <w:spacing w:before="0" w:after="0" w:line="408" w:lineRule="exact"/>
        <w:ind w:left="0" w:right="0" w:firstLine="576"/>
        <w:jc w:val="left"/>
      </w:pPr>
      <w:r>
        <w:rPr>
          <w:u w:val="single"/>
        </w:rPr>
        <w:t xml:space="preserve">EFFECT:</w:t>
      </w:r>
      <w:r>
        <w:rPr/>
        <w:t xml:space="preserve"> Clarifies that treatment and recovery support services are not subject to medical necessity authorizations.</w:t>
      </w:r>
    </w:p>
    <w:p>
      <w:pPr>
        <w:spacing w:before="0" w:after="0" w:line="408" w:lineRule="exact"/>
        <w:ind w:left="0" w:right="0" w:firstLine="576"/>
        <w:jc w:val="left"/>
      </w:pPr>
      <w:r>
        <w:rPr/>
        <w:t xml:space="preserve">Restores transfer authority of the excess fund balance in the Criminal Justice Treatment Account to the general fund in the 2019-2021 biennium.</w:t>
      </w:r>
    </w:p>
    <w:p>
      <w:pPr>
        <w:spacing w:before="0" w:after="0" w:line="408" w:lineRule="exact"/>
        <w:ind w:left="0" w:right="0" w:firstLine="576"/>
        <w:jc w:val="left"/>
      </w:pPr>
      <w:r>
        <w:rPr/>
        <w:t xml:space="preserve">Removes permissive authority to use excess funds for other therapeutic courts in counties enacting the mental health and drug dependency sales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39f110797d42b8" /></Relationships>
</file>