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39f2501fb493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1506-S2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S4612.1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1506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WITHDRAWN 03/01/2018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24,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10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city, code city, town, county, or political subdivision may not enact a charter, ordinance, regulation, rule, or resolution: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Creating a gender pay equity program that alters or amends the requirements of this chapter for any private employer;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Providing for local enforcement of the provisions of this chapter;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Requiring private employers to supplement the requirements or benefits provided under this chapter."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1, after "through" strike "11" and insert "12"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preemption for local governments from enacting gender pay equity programs for private employers.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d595bc2e45b8" /></Relationships>
</file>