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723b4d6a1423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1298-S2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BAUM</w:t>
        </w:r>
      </w:r>
      <w:r>
        <w:rPr>
          <w:b/>
        </w:rPr>
        <w:t xml:space="preserve"> </w:t>
        <w:r>
          <w:rPr/>
          <w:t xml:space="preserve">S5781.1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1298</w:t>
      </w:r>
      <w:r>
        <w:t xml:space="preserve"> -</w:t>
      </w:r>
      <w:r>
        <w:t xml:space="preserve"> </w:t>
        <w:t xml:space="preserve">S AMD TO LBRC COMM AMD (S-5546.1/18)</w:t>
      </w:r>
      <w:r>
        <w:t xml:space="preserve"> </w:t>
      </w:r>
      <w:r>
        <w:rPr>
          <w:b/>
        </w:rPr>
        <w:t xml:space="preserve">779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Baumgartner</w:t>
      </w:r>
    </w:p>
    <w:p>
      <w:pPr>
        <w:jc w:val="right"/>
      </w:pPr>
      <w:r>
        <w:rPr>
          <w:b/>
        </w:rPr>
        <w:t xml:space="preserve">NOT ADOPTED 02/28/2018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20 of the amendment, after ";" strike "or"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21 of the amendment, after "(e)" insert "Positions requiring security, fidelity, or similar bonding, or other surety or guarantee that excludes individuals with criminal history from qualifying;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Positions where contracts with public entities prohibit sending workers with criminal history;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Positions primarily engaged in door-to-door sales or services at residential properties;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(h) Positions in a home-based business;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Makes prohibitions on employers from inquiring about criminal backgrounds, and advertising and having policies to exclude individuals with criminal backgrounds inapplicable to positions: (1) Requiring certain bonding or surety; (2) where public entity contracts prohibit sending workers with criminal history; (3) for sales or services at residential properties; and (4) in a home-based business.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dc1a2278b45e1" /></Relationships>
</file>