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15d9cb45c649ed" /></Relationships>
</file>

<file path=word/document.xml><?xml version="1.0" encoding="utf-8"?>
<w:document xmlns:w="http://schemas.openxmlformats.org/wordprocessingml/2006/main">
  <w:body>
    <w:p>
      <w:r>
        <w:rPr>
          <w:b/>
        </w:rPr>
        <w:r>
          <w:rPr/>
          <w:t xml:space="preserve">6347-S</w:t>
        </w:r>
      </w:r>
      <w:r>
        <w:rPr>
          <w:b/>
        </w:rPr>
        <w:t xml:space="preserve"> </w:t>
        <w:t xml:space="preserve">AMH</w:t>
      </w:r>
      <w:r>
        <w:rPr>
          <w:b/>
        </w:rPr>
        <w:t xml:space="preserve"> </w:t>
        <w:r>
          <w:rPr/>
          <w:t xml:space="preserve">CDHT</w:t>
        </w:r>
      </w:r>
      <w:r>
        <w:rPr>
          <w:b/>
        </w:rPr>
        <w:t xml:space="preserve"> </w:t>
        <w:r>
          <w:rPr/>
          <w:t xml:space="preserve">H5006.1</w:t>
        </w:r>
      </w:r>
      <w:r>
        <w:rPr>
          <w:b/>
        </w:rPr>
        <w:t xml:space="preserve"> - NOT FOR FLOOR USE</w:t>
      </w:r>
    </w:p>
    <w:p>
      <w:pPr>
        <w:ind w:left="0" w:right="0" w:firstLine="576"/>
      </w:pPr>
    </w:p>
    <w:p>
      <w:pPr>
        <w:spacing w:before="480" w:after="0" w:line="408" w:lineRule="exact"/>
      </w:pPr>
      <w:r>
        <w:rPr>
          <w:b/>
          <w:u w:val="single"/>
        </w:rPr>
        <w:t xml:space="preserve">SSB 6347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Community Development, Housing &amp; Tribal Affairs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chapter . . ., Laws of 2018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incentivize developers to construct new multifamily housing and to increase the number of affordable housing units for low to moderate-income residents in certain urban growth areas.</w:t>
      </w:r>
    </w:p>
    <w:p>
      <w:pPr>
        <w:spacing w:before="0" w:after="0" w:line="408" w:lineRule="exact"/>
        <w:ind w:left="0" w:right="0" w:firstLine="576"/>
        <w:jc w:val="left"/>
      </w:pPr>
      <w:r>
        <w:rPr/>
        <w:t xml:space="preserve">(3) The legislature intends to extend the expiration date of the tax preferences in this act, if a review finds that for properties applying under RCW 84.14.020(1)(a)(ii) (B) or (C), at least twenty percent of the new housing is developed for and occupied by households earning:</w:t>
      </w:r>
    </w:p>
    <w:p>
      <w:pPr>
        <w:spacing w:before="0" w:after="0" w:line="408" w:lineRule="exact"/>
        <w:ind w:left="0" w:right="0" w:firstLine="576"/>
        <w:jc w:val="left"/>
      </w:pPr>
      <w:r>
        <w:rPr/>
        <w:t xml:space="preserve">(a) At or below sixty percent of the area median income, at the time of occupancy, adjusted for family size for the county in which the project is located;</w:t>
      </w:r>
    </w:p>
    <w:p>
      <w:pPr>
        <w:spacing w:before="0" w:after="0" w:line="408" w:lineRule="exact"/>
        <w:ind w:left="0" w:right="0" w:firstLine="576"/>
        <w:jc w:val="left"/>
      </w:pPr>
      <w:r>
        <w:rPr/>
        <w:t xml:space="preserve">(b) At or below eighty percent of the area median income, at the time of occupancy, adjusted for family size for the county in which the project is located; or</w:t>
      </w:r>
    </w:p>
    <w:p>
      <w:pPr>
        <w:spacing w:before="0" w:after="0" w:line="408" w:lineRule="exact"/>
        <w:ind w:left="0" w:right="0" w:firstLine="576"/>
        <w:jc w:val="left"/>
      </w:pPr>
      <w:r>
        <w:rPr/>
        <w:t xml:space="preserve">(c) When the housing is intended exclusively for owner occupancy, up to one hundred fifteen percent of the area median income, at the time of sale, adjusted for family size for the county in which the project is located.</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provided by cities or towns in which persons are utilizing these tax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2017 c 52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w:t>
      </w:r>
      <w:r>
        <w:rPr>
          <w:u w:val="single"/>
        </w:rPr>
        <w:t xml:space="preserve">(a) Until July 1, 2023, "city" means either (i) a city or town with a population of at least fifteen thousand, (ii) the largest city or town, if there is no city or town with a population of at least fifteen thousand, located in a county planning under the growth management act, or (iii) a city or town with a population of at least five thousand located in a county subject to the provisions of RCW 36.70A.215, except as otherwise provided in RCW 84.14.020(1)(a)(ii) (B) and (C).</w:t>
      </w:r>
    </w:p>
    <w:p>
      <w:pPr>
        <w:spacing w:before="0" w:after="0" w:line="408" w:lineRule="exact"/>
        <w:ind w:left="0" w:right="0" w:firstLine="576"/>
        <w:jc w:val="left"/>
      </w:pPr>
      <w:r>
        <w:rPr>
          <w:u w:val="single"/>
        </w:rPr>
        <w:t xml:space="preserve">(b) Beginning July 1, 2023,</w:t>
      </w:r>
      <w:r>
        <w:rPr/>
        <w:t xml:space="preserve"> "</w:t>
      </w:r>
      <w:r>
        <w:rPr>
          <w:u w:val="single"/>
        </w:rPr>
        <w:t xml:space="preserve">c</w:t>
      </w:r>
      <w:r>
        <w:rPr/>
        <w:t xml:space="preserve">ity" means either </w:t>
      </w:r>
      <w:r>
        <w:t>((</w:t>
      </w:r>
      <w:r>
        <w:rPr>
          <w:strike/>
        </w:rPr>
        <w:t xml:space="preserve">(a)</w:t>
      </w:r>
      <w:r>
        <w:t>))</w:t>
      </w:r>
      <w:r>
        <w:rPr/>
        <w:t xml:space="preserve"> </w:t>
      </w:r>
      <w:r>
        <w:rPr>
          <w:u w:val="single"/>
        </w:rPr>
        <w:t xml:space="preserve">(i)</w:t>
      </w:r>
      <w:r>
        <w:rPr/>
        <w:t xml:space="preserve"> a city or town with a population of at least fifteen thousand, </w:t>
      </w:r>
      <w:r>
        <w:t>((</w:t>
      </w:r>
      <w:r>
        <w:rPr>
          <w:strike/>
        </w:rPr>
        <w:t xml:space="preserve">(b)</w:t>
      </w:r>
      <w:r>
        <w:t>))</w:t>
      </w:r>
      <w:r>
        <w:rPr/>
        <w:t xml:space="preserve"> </w:t>
      </w:r>
      <w:r>
        <w:rPr>
          <w:u w:val="single"/>
        </w:rPr>
        <w:t xml:space="preserve">(ii)</w:t>
      </w:r>
      <w:r>
        <w:rPr/>
        <w:t xml:space="preserve"> the largest city or town, if there is no city or town with a population of at least fifteen thousand, located in a county planning under the growth management act, or </w:t>
      </w:r>
      <w:r>
        <w:t>((</w:t>
      </w:r>
      <w:r>
        <w:rPr>
          <w:strike/>
        </w:rPr>
        <w:t xml:space="preserve">(c)</w:t>
      </w:r>
      <w:r>
        <w:t>))</w:t>
      </w:r>
      <w:r>
        <w:rPr/>
        <w:t xml:space="preserve"> </w:t>
      </w:r>
      <w:r>
        <w:rPr>
          <w:u w:val="single"/>
        </w:rPr>
        <w:t xml:space="preserve">(iii)</w:t>
      </w:r>
      <w:r>
        <w:rPr/>
        <w:t xml:space="preserve"> a city or town with a population of at least five thousand located in a county subject to the provisions of RCW 36.70A.215.</w:t>
      </w:r>
    </w:p>
    <w:p>
      <w:pPr>
        <w:spacing w:before="0" w:after="0" w:line="408" w:lineRule="exact"/>
        <w:ind w:left="0" w:right="0" w:firstLine="576"/>
        <w:jc w:val="left"/>
      </w:pPr>
      <w:r>
        <w:rPr/>
        <w:t xml:space="preserve">(4) "County" means a county with an unincorporated population of at least three hundred fifty thousand.</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county where the project is located.</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county where the project is located.</w:t>
      </w:r>
    </w:p>
    <w:p>
      <w:pPr>
        <w:spacing w:before="0" w:after="0" w:line="408" w:lineRule="exact"/>
        <w:ind w:left="0" w:right="0" w:firstLine="576"/>
        <w:jc w:val="left"/>
      </w:pPr>
      <w:r>
        <w:rPr/>
        <w:t xml:space="preserve">(11) "Multiple-unit housing"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fifty thousand and seventy-one thousand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020</w:t>
      </w:r>
      <w:r>
        <w:rPr/>
        <w:t xml:space="preserve"> and 2007 c 430 s 4 are each amended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w:t>
      </w:r>
    </w:p>
    <w:p>
      <w:pPr>
        <w:spacing w:before="0" w:after="0" w:line="408" w:lineRule="exact"/>
        <w:ind w:left="0" w:right="0" w:firstLine="576"/>
        <w:jc w:val="left"/>
      </w:pPr>
      <w:r>
        <w:rPr/>
        <w:t xml:space="preserve">(i) For properties for which applications for certificates of tax exemption eligibility are submitted under </w:t>
      </w:r>
      <w:r>
        <w:rPr>
          <w:u w:val="single"/>
        </w:rPr>
        <w:t xml:space="preserve">this</w:t>
      </w:r>
      <w:r>
        <w:rPr/>
        <w:t xml:space="preserve"> chapter </w:t>
      </w:r>
      <w:r>
        <w:t>((</w:t>
      </w:r>
      <w:r>
        <w:rPr>
          <w:strike/>
        </w:rPr>
        <w:t xml:space="preserve">84.14 RCW</w:t>
      </w:r>
      <w:r>
        <w:t>))</w:t>
      </w:r>
      <w:r>
        <w:rPr/>
        <w:t xml:space="preserve"> before July 22, 2007, the value is exempt for ten successive years beginning January 1</w:t>
      </w:r>
      <w:r>
        <w:rPr>
          <w:u w:val="single"/>
        </w:rPr>
        <w:t xml:space="preserve">st</w:t>
      </w:r>
      <w:r>
        <w:rPr/>
        <w:t xml:space="preserve"> of the year immediately following the calendar year of issuance of the certificate; and</w:t>
      </w:r>
    </w:p>
    <w:p>
      <w:pPr>
        <w:spacing w:before="0" w:after="0" w:line="408" w:lineRule="exact"/>
        <w:ind w:left="0" w:right="0" w:firstLine="576"/>
        <w:jc w:val="left"/>
      </w:pPr>
      <w:r>
        <w:rPr/>
        <w:t xml:space="preserve">(ii) For properties for which applications for certificates of tax exemption eligibility are submitted under </w:t>
      </w:r>
      <w:r>
        <w:rPr>
          <w:u w:val="single"/>
        </w:rPr>
        <w:t xml:space="preserve">this</w:t>
      </w:r>
      <w:r>
        <w:rPr/>
        <w:t xml:space="preserve"> chapter </w:t>
      </w:r>
      <w:r>
        <w:t>((</w:t>
      </w:r>
      <w:r>
        <w:rPr>
          <w:strike/>
        </w:rPr>
        <w:t xml:space="preserve">84.14 RCW</w:t>
      </w:r>
      <w:r>
        <w:t>))</w:t>
      </w:r>
      <w:r>
        <w:rPr/>
        <w:t xml:space="preserve"> on or after July 22, 2007, the value is exempt:</w:t>
      </w:r>
    </w:p>
    <w:p>
      <w:pPr>
        <w:spacing w:before="0" w:after="0" w:line="408" w:lineRule="exact"/>
        <w:ind w:left="0" w:right="0" w:firstLine="576"/>
        <w:jc w:val="left"/>
      </w:pPr>
      <w:r>
        <w:rPr/>
        <w:t xml:space="preserve">(A) For eight successive years beginning January 1st of the year immediately following the calendar year of issuance of the certificate; or</w:t>
      </w:r>
    </w:p>
    <w:p>
      <w:pPr>
        <w:spacing w:before="0" w:after="0" w:line="408" w:lineRule="exact"/>
        <w:ind w:left="0" w:right="0" w:firstLine="576"/>
        <w:jc w:val="left"/>
      </w:pPr>
      <w:r>
        <w:rPr/>
        <w:t xml:space="preserve">(B)</w:t>
      </w:r>
      <w:r>
        <w:rPr>
          <w:u w:val="single"/>
        </w:rPr>
        <w:t xml:space="preserve">(I)</w:t>
      </w:r>
      <w:r>
        <w:rPr/>
        <w:t xml:space="preserve"> For twelve successive years beginning January 1st of the year immediately following the calendar year of issuance of the certificate, if the property otherwise qualifies for the exemption under </w:t>
      </w:r>
      <w:r>
        <w:rPr>
          <w:u w:val="single"/>
        </w:rPr>
        <w:t xml:space="preserve">this</w:t>
      </w:r>
      <w:r>
        <w:rPr/>
        <w:t xml:space="preserve"> chapter </w:t>
      </w:r>
      <w:r>
        <w:t>((</w:t>
      </w:r>
      <w:r>
        <w:rPr>
          <w:strike/>
        </w:rPr>
        <w:t xml:space="preserve">84.14 RCW</w:t>
      </w:r>
      <w:r>
        <w:t>))</w:t>
      </w:r>
      <w:r>
        <w:rPr/>
        <w:t xml:space="preserve"> and meets the conditions in this subsection (1)(a)(ii)(B). For the property to qualify for the twelve-year exemption under this subsection, the applicant must commit to renting or selling at least twenty percent of the multifamily housing units as affordable housing units to low and moderate</w:t>
      </w:r>
      <w:r>
        <w:rPr/>
        <w:noBreakHyphen/>
      </w:r>
      <w:r>
        <w:rPr/>
        <w:t xml:space="preserve">income households, and the property must satisfy that commitment and any additional affordability and income eligibility conditions adopted by the local government under this chapter. In the case of projects intended exclusively for owner occupancy, the minimum requirement of this subsection (1)(a)(ii)(B) may be satisfied solely through housing affordable to moderate</w:t>
      </w:r>
      <w:r>
        <w:rPr/>
        <w:noBreakHyphen/>
      </w:r>
      <w:r>
        <w:rPr/>
        <w:t xml:space="preserve">income households.</w:t>
      </w:r>
    </w:p>
    <w:p>
      <w:pPr>
        <w:spacing w:before="0" w:after="0" w:line="408" w:lineRule="exact"/>
        <w:ind w:left="0" w:right="0" w:firstLine="576"/>
        <w:jc w:val="left"/>
      </w:pPr>
      <w:r>
        <w:rPr>
          <w:u w:val="single"/>
        </w:rPr>
        <w:t xml:space="preserve">(II) Until July 1, 2023, property qualifying for the twelve-year exemption under this subsection (1)(a)(ii)(B), where the applicant has committed to renting or selling at least twenty percent of the multifamily housing units as affordable housing units to low-income households, includes property located in a city or town with a population of less than fifteen thousand.</w:t>
      </w:r>
    </w:p>
    <w:p>
      <w:pPr>
        <w:spacing w:before="0" w:after="0" w:line="408" w:lineRule="exact"/>
        <w:ind w:left="0" w:right="0" w:firstLine="576"/>
        <w:jc w:val="left"/>
      </w:pPr>
      <w:r>
        <w:rPr>
          <w:u w:val="single"/>
        </w:rPr>
        <w:t xml:space="preserve">(C) Until July 1, 2023, for fifteen successive years beginning January 1st of the year immediately following the calendar year of issuance of the certificate, if the property is intended for rental, is located in a city or town with a population of less than fifteen thousand, otherwise qualifies for the exemption under this chapter, and meets the conditions in this subsection (1)(a)(ii)(C). For the property to qualify for the fifteen-year exemption under this subsection, the applicant must commit to renting at least twenty percent of the multifamily housing units as affordable housing units to households whose adjusted income is at or below sixty percent of the median family income adjusted for family size, for the county where the project is located, as reported by the United States department of housing and urban development; the property must be financed by the Washington state housing finance commission under a program using bonds exempt from federal income tax; and the property must satisfy any additional affordability and income eligibility conditions adopted by the local government under this chapter.</w:t>
      </w:r>
    </w:p>
    <w:p>
      <w:pPr>
        <w:spacing w:before="0" w:after="0" w:line="408" w:lineRule="exact"/>
        <w:ind w:left="0" w:right="0" w:firstLine="576"/>
        <w:jc w:val="left"/>
      </w:pPr>
      <w:r>
        <w:rPr/>
        <w:t xml:space="preserve">(b) The exemptions provided in (a)(i) and (ii) of this subsection do not include the value of land or nonhousing-related improvements not qualifying under this chapter.</w:t>
      </w:r>
    </w:p>
    <w:p>
      <w:pPr>
        <w:spacing w:before="0" w:after="0" w:line="408" w:lineRule="exact"/>
        <w:ind w:left="0" w:right="0" w:firstLine="576"/>
        <w:jc w:val="left"/>
      </w:pPr>
      <w:r>
        <w:rPr/>
        <w:t xml:space="preserve">(2)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pPr>
        <w:spacing w:before="0" w:after="0" w:line="408" w:lineRule="exact"/>
        <w:ind w:left="0" w:right="0" w:firstLine="576"/>
        <w:jc w:val="left"/>
      </w:pPr>
      <w:r>
        <w:rPr/>
        <w:t xml:space="preserve">(3)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rPr/>
        <w:t xml:space="preserve">(4)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At the conclusion of the exemption period, the new or rehabilitated housing cost </w:t>
      </w:r>
      <w:r>
        <w:t>((</w:t>
      </w:r>
      <w:r>
        <w:rPr>
          <w:strike/>
        </w:rPr>
        <w:t xml:space="preserve">shall</w:t>
      </w:r>
      <w:r>
        <w:t>))</w:t>
      </w:r>
      <w:r>
        <w:rPr/>
        <w:t xml:space="preserve"> </w:t>
      </w:r>
      <w:r>
        <w:rPr>
          <w:u w:val="single"/>
        </w:rPr>
        <w:t xml:space="preserve">must</w:t>
      </w:r>
      <w:r>
        <w:rPr/>
        <w:t xml:space="preserve"> be considered as new construction for the purposes of chapter 84.55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Eliminates eligibility for qualifying projects in any city until July 1, 2021, under the Multifamily Property Exemption program.</w:t>
      </w:r>
    </w:p>
    <w:p>
      <w:pPr>
        <w:spacing w:before="0" w:after="0" w:line="408" w:lineRule="exact"/>
        <w:ind w:left="0" w:right="0" w:firstLine="576"/>
        <w:jc w:val="left"/>
      </w:pPr>
      <w:r>
        <w:rPr/>
        <w:t xml:space="preserve">(2) Allows projects located in any city with a population of under 15,000 that provide housing for households with adjusted incomes at or below 80% of the median family income to qualify for the 12-year Multifamily Property Tax Exemption until July 1, 2023.</w:t>
      </w:r>
    </w:p>
    <w:p>
      <w:pPr>
        <w:spacing w:before="0" w:after="0" w:line="408" w:lineRule="exact"/>
        <w:ind w:left="0" w:right="0" w:firstLine="576"/>
        <w:jc w:val="left"/>
      </w:pPr>
      <w:r>
        <w:rPr/>
        <w:t xml:space="preserve">(3) Creates a new 15-year tax preference under the Multifamily Property Tax Exemption program for projects located in cities with a population of under 15,000 that provide housing for households with adjusted incomes at or below 60% of the median family income.</w:t>
      </w:r>
    </w:p>
    <w:p>
      <w:pPr>
        <w:spacing w:before="0" w:after="0" w:line="408" w:lineRule="exact"/>
        <w:ind w:left="0" w:right="0" w:firstLine="576"/>
        <w:jc w:val="left"/>
      </w:pPr>
      <w:r>
        <w:rPr/>
        <w:t xml:space="preserve">(4) Creates expiration dates for the expanded 12-year and the new 15-year tax preference of July 1, 2023.</w:t>
      </w:r>
    </w:p>
    <w:p>
      <w:pPr>
        <w:spacing w:before="0" w:after="0" w:line="408" w:lineRule="exact"/>
        <w:ind w:left="0" w:right="0" w:firstLine="576"/>
        <w:jc w:val="left"/>
      </w:pPr>
      <w:r>
        <w:rPr/>
        <w:t xml:space="preserve">(5) Makes changes to the tax preference performance statement to reflect the new 15-year preference for cities with a population of under 15,000 and adds an additional section to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27ca044da74f98" /></Relationships>
</file>