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4aa1eeb1114e2d" /></Relationships>
</file>

<file path=word/document.xml><?xml version="1.0" encoding="utf-8"?>
<w:document xmlns:w="http://schemas.openxmlformats.org/wordprocessingml/2006/main">
  <w:body>
    <w:p>
      <w:r>
        <w:rPr>
          <w:b/>
        </w:rPr>
        <w:r>
          <w:rPr/>
          <w:t xml:space="preserve">6140.E</w:t>
        </w:r>
      </w:r>
      <w:r>
        <w:rPr>
          <w:b/>
        </w:rPr>
        <w:t xml:space="preserve"> </w:t>
        <w:t xml:space="preserve">AMH</w:t>
      </w:r>
      <w:r>
        <w:rPr>
          <w:b/>
        </w:rPr>
        <w:t xml:space="preserve"> </w:t>
        <w:r>
          <w:rPr/>
          <w:t xml:space="preserve">AGNR</w:t>
        </w:r>
      </w:r>
      <w:r>
        <w:rPr>
          <w:b/>
        </w:rPr>
        <w:t xml:space="preserve"> </w:t>
        <w:r>
          <w:rPr/>
          <w:t xml:space="preserve">H4922.1</w:t>
        </w:r>
      </w:r>
      <w:r>
        <w:rPr>
          <w:b/>
        </w:rPr>
        <w:t xml:space="preserve"> - NOT FOR FLOOR USE</w:t>
      </w:r>
    </w:p>
    <w:p>
      <w:pPr>
        <w:ind w:left="0" w:right="0" w:firstLine="576"/>
      </w:pPr>
    </w:p>
    <w:p>
      <w:pPr>
        <w:spacing w:before="480" w:after="0" w:line="408" w:lineRule="exact"/>
      </w:pPr>
      <w:r>
        <w:rPr>
          <w:b/>
          <w:u w:val="single"/>
        </w:rPr>
        <w:t xml:space="preserve">ESB 6140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&amp; Natural Resources</w:t>
      </w:r>
    </w:p>
    <w:p>
      <w:pPr>
        <w:jc w:val="right"/>
      </w:pPr>
      <w:r>
        <w:rPr>
          <w:b/>
        </w:rPr>
        <w:t xml:space="preserve">ADOPTED AS AMENDED 03/08/2018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400</w:t>
      </w:r>
      <w:r>
        <w:rPr/>
        <w:t xml:space="preserve"> and 2005 c 155 s 506 are each amended to read as follows:</w:t>
      </w:r>
    </w:p>
    <w:p>
      <w:pPr>
        <w:spacing w:before="0" w:after="0" w:line="408" w:lineRule="exact"/>
        <w:ind w:left="0" w:right="0" w:firstLine="576"/>
        <w:jc w:val="left"/>
      </w:pPr>
      <w:r>
        <w:rPr/>
        <w:t xml:space="preserve">(1) </w:t>
      </w:r>
      <w:r>
        <w:t>((</w:t>
      </w:r>
      <w:r>
        <w:rPr>
          <w:strike/>
        </w:rPr>
        <w:t xml:space="preserve">Upon platting and appraisal of first-class tidelands or shorelands as provided in this chapter</w:t>
      </w:r>
      <w:r>
        <w:t>))</w:t>
      </w:r>
      <w:r>
        <w:rPr/>
        <w:t xml:space="preserve"> </w:t>
      </w:r>
      <w:r>
        <w:rPr>
          <w:u w:val="single"/>
        </w:rPr>
        <w:t xml:space="preserve">Except when the department is re-leasing first-class tidelands or shorelands under subsection (4) of this section</w:t>
      </w:r>
      <w:r>
        <w:rPr/>
        <w:t xml:space="preserve">, if the department deems it for the best public interest to offer </w:t>
      </w:r>
      <w:r>
        <w:t>((</w:t>
      </w:r>
      <w:r>
        <w:rPr>
          <w:strike/>
        </w:rPr>
        <w:t xml:space="preserve">the</w:t>
      </w:r>
      <w:r>
        <w:t>))</w:t>
      </w:r>
      <w:r>
        <w:rPr/>
        <w:t xml:space="preserve"> first-class tidelands or shorelands for lease, the department shall notify the owner of record of </w:t>
      </w:r>
      <w:r>
        <w:t>((</w:t>
      </w:r>
      <w:r>
        <w:rPr>
          <w:strike/>
        </w:rPr>
        <w:t xml:space="preserve">uplands</w:t>
      </w:r>
      <w:r>
        <w:t>))</w:t>
      </w:r>
      <w:r>
        <w:rPr/>
        <w:t xml:space="preserve"> </w:t>
      </w:r>
      <w:r>
        <w:rPr>
          <w:u w:val="single"/>
        </w:rPr>
        <w:t xml:space="preserve">the lands</w:t>
      </w:r>
      <w:r>
        <w:rPr/>
        <w:t xml:space="preserve"> fronting upon the tidelands or shorelands to be offered for lease </w:t>
      </w:r>
      <w:r>
        <w:t>((</w:t>
      </w:r>
      <w:r>
        <w:rPr>
          <w:strike/>
        </w:rPr>
        <w:t xml:space="preserve">if the upland owner is a resident of the state, or the upland owner is a nonresident of the state, shall mail</w:t>
      </w:r>
      <w:r>
        <w:t>))</w:t>
      </w:r>
      <w:r>
        <w:rPr/>
        <w:t xml:space="preserve"> </w:t>
      </w:r>
      <w:r>
        <w:rPr>
          <w:u w:val="single"/>
        </w:rPr>
        <w:t xml:space="preserve">by mailing</w:t>
      </w:r>
      <w:r>
        <w:rPr/>
        <w:t xml:space="preserve"> to the </w:t>
      </w:r>
      <w:r>
        <w:t>((</w:t>
      </w:r>
      <w:r>
        <w:rPr>
          <w:strike/>
        </w:rPr>
        <w:t xml:space="preserve">upland</w:t>
      </w:r>
      <w:r>
        <w:t>))</w:t>
      </w:r>
      <w:r>
        <w:rPr/>
        <w:t xml:space="preserve"> </w:t>
      </w:r>
      <w:r>
        <w:rPr>
          <w:u w:val="single"/>
        </w:rPr>
        <w:t xml:space="preserve">land</w:t>
      </w:r>
      <w:r>
        <w:rPr/>
        <w:t xml:space="preserve"> owner's last known post office address, as reflected in the county records, a copy of the notice notifying the owner that the state is offering the tidelands or shorelands for lease, giving a description of those lands </w:t>
      </w:r>
      <w:r>
        <w:t>((</w:t>
      </w:r>
      <w:r>
        <w:rPr>
          <w:strike/>
        </w:rPr>
        <w:t xml:space="preserve">and the department's appraised fair market value of the tidelands or shorelands for lease</w:t>
      </w:r>
      <w:r>
        <w:t>))</w:t>
      </w:r>
      <w:r>
        <w:rPr/>
        <w:t xml:space="preserve">, and notifying the owner that the </w:t>
      </w:r>
      <w:r>
        <w:t>((</w:t>
      </w:r>
      <w:r>
        <w:rPr>
          <w:strike/>
        </w:rPr>
        <w:t xml:space="preserve">upland</w:t>
      </w:r>
      <w:r>
        <w:t>))</w:t>
      </w:r>
      <w:r>
        <w:rPr/>
        <w:t xml:space="preserve"> owner has a preference right to apply to lease the tidelands or shorelands </w:t>
      </w:r>
      <w:r>
        <w:t>((</w:t>
      </w:r>
      <w:r>
        <w:rPr>
          <w:strike/>
        </w:rPr>
        <w:t xml:space="preserve">at the appraised value for the lease for</w:t>
      </w:r>
      <w:r>
        <w:t>))</w:t>
      </w:r>
      <w:r>
        <w:rPr>
          <w:u w:val="single"/>
        </w:rPr>
        <w:t xml:space="preserve">. The owner has</w:t>
      </w:r>
      <w:r>
        <w:rPr/>
        <w:t xml:space="preserve"> a period of sixty days from the date of service of mailing of the notice </w:t>
      </w:r>
      <w:r>
        <w:rPr>
          <w:u w:val="single"/>
        </w:rPr>
        <w:t xml:space="preserve">to exercise the preference by applying to lease the tidelands or shorelands</w:t>
      </w:r>
      <w:r>
        <w:rPr/>
        <w:t xml:space="preserve">.</w:t>
      </w:r>
    </w:p>
    <w:p>
      <w:pPr>
        <w:spacing w:before="0" w:after="0" w:line="408" w:lineRule="exact"/>
        <w:ind w:left="0" w:right="0" w:firstLine="576"/>
        <w:jc w:val="left"/>
      </w:pPr>
      <w:r>
        <w:rPr/>
        <w:t xml:space="preserve">(2) If at the expiration of sixty days from the service or mailing of the notice, as provided in subsection (1) of this section, there being no conflicting applications filed, and the owner of the </w:t>
      </w:r>
      <w:r>
        <w:t>((</w:t>
      </w:r>
      <w:r>
        <w:rPr>
          <w:strike/>
        </w:rPr>
        <w:t xml:space="preserve">uplands</w:t>
      </w:r>
      <w:r>
        <w:t>))</w:t>
      </w:r>
      <w:r>
        <w:rPr/>
        <w:t xml:space="preserve"> </w:t>
      </w:r>
      <w:r>
        <w:rPr>
          <w:u w:val="single"/>
        </w:rPr>
        <w:t xml:space="preserve">lands</w:t>
      </w:r>
      <w:r>
        <w:rPr/>
        <w:t xml:space="preserve"> fronting upon the tidelands or shorelands offered for lease, has failed to avail themselves of their preference right to apply to lease </w:t>
      </w:r>
      <w:r>
        <w:t>((</w:t>
      </w:r>
      <w:r>
        <w:rPr>
          <w:strike/>
        </w:rPr>
        <w:t xml:space="preserve">or to pay to the department the appraised value for lease of the tidelands or shorelands described in the notice</w:t>
      </w:r>
      <w:r>
        <w:t>))</w:t>
      </w:r>
      <w:r>
        <w:rPr/>
        <w:t xml:space="preserve">, the tidelands or shorelands may be offered for lease to any person and may be leased in the manner provided for in the case of lease of state</w:t>
      </w:r>
      <w:r>
        <w:rPr>
          <w:u w:val="single"/>
        </w:rPr>
        <w:t xml:space="preserve">-owned aquatic</w:t>
      </w:r>
      <w:r>
        <w:rPr/>
        <w:t xml:space="preserve"> lands.</w:t>
      </w:r>
    </w:p>
    <w:p>
      <w:pPr>
        <w:spacing w:before="0" w:after="0" w:line="408" w:lineRule="exact"/>
        <w:ind w:left="0" w:right="0" w:firstLine="576"/>
        <w:jc w:val="left"/>
      </w:pPr>
      <w:r>
        <w:rPr/>
        <w:t xml:space="preserve">(3) If at the expiration of sixty days two or more claimants asserting a preference right to lease have filed applications to lease any tract, conflicting with each other, the conflict between the claimants shall be equitably resolved by the department as the best interests of the state require </w:t>
      </w:r>
      <w:r>
        <w:t>((</w:t>
      </w:r>
      <w:r>
        <w:rPr>
          <w:strike/>
        </w:rPr>
        <w:t xml:space="preserve">in accord with the procedures prescribed by chapter 34.05 RCW</w:t>
      </w:r>
      <w:r>
        <w:t>))</w:t>
      </w:r>
      <w:r>
        <w:rPr/>
        <w:t xml:space="preserve">. However, any contract purchaser of lands or rights therein, which </w:t>
      </w:r>
      <w:r>
        <w:t>((</w:t>
      </w:r>
      <w:r>
        <w:rPr>
          <w:strike/>
        </w:rPr>
        <w:t xml:space="preserve">upland</w:t>
      </w:r>
      <w:r>
        <w:t>))</w:t>
      </w:r>
      <w:r>
        <w:rPr/>
        <w:t xml:space="preserve"> </w:t>
      </w:r>
      <w:r>
        <w:rPr>
          <w:u w:val="single"/>
        </w:rPr>
        <w:t xml:space="preserve">land</w:t>
      </w:r>
      <w:r>
        <w:rPr/>
        <w:t xml:space="preserve"> qualifies the owner for a preference right under this section, shall have first priority for the preference right.</w:t>
      </w:r>
    </w:p>
    <w:p>
      <w:pPr>
        <w:spacing w:before="0" w:after="0" w:line="408" w:lineRule="exact"/>
        <w:ind w:left="0" w:right="0" w:firstLine="576"/>
        <w:jc w:val="left"/>
      </w:pPr>
      <w:r>
        <w:rPr>
          <w:u w:val="single"/>
        </w:rPr>
        <w:t xml:space="preserve">(4) At the expiration of any lease of first-class tidelands or shorelands, the lessee or the lessee's successors or assigns has the preference right to re-lease all or part of the area covered by the original lease or any portion of the lease, if the department deems it to be in the best interests of the state to re-lease the area. Such a re-lease must be upon the terms and conditions as may be prescribed by the department. This preference right to re-lease is superior to any preference right given to the land owner fronting the tidelands and shorelands under subsection (1) of this section.</w:t>
      </w:r>
    </w:p>
    <w:p>
      <w:pPr>
        <w:spacing w:before="0" w:after="0" w:line="408" w:lineRule="exact"/>
        <w:ind w:left="0" w:right="0" w:firstLine="576"/>
        <w:jc w:val="left"/>
      </w:pPr>
      <w:r>
        <w:rPr>
          <w:u w:val="single"/>
        </w:rPr>
        <w:t xml:space="preserve">(5) In case the fronting uplands are not improved and occupied for residential purposes and the fronting land owner has not filed an application for the lease of the lands, the department may lease the lands to any person for booming purposes. However, failure to use for booming purposes any lands leased under this section for such purposes for a period of one year shall work a forfeiture of the lease and the land shall revert to the state without any notice to the lessee upon the entry of a declaration of forfeiture in the records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130</w:t>
      </w:r>
      <w:r>
        <w:rPr/>
        <w:t xml:space="preserve">.</w:t>
      </w:r>
      <w:r>
        <w:t xml:space="preserve">020</w:t>
      </w:r>
      <w:r>
        <w:rPr/>
        <w:t xml:space="preserve"> and 2005 c 155 s 602 are each amended to read as follows:</w:t>
      </w:r>
    </w:p>
    <w:p>
      <w:pPr>
        <w:spacing w:before="0" w:after="0" w:line="408" w:lineRule="exact"/>
        <w:ind w:left="0" w:right="0" w:firstLine="576"/>
        <w:jc w:val="left"/>
      </w:pPr>
      <w:r>
        <w:rPr/>
        <w:t xml:space="preserve">(1) The department shall, prior to the issuance of any lease under the provisions of this chapter, fix the annual </w:t>
      </w:r>
      <w:r>
        <w:t>((</w:t>
      </w:r>
      <w:r>
        <w:rPr>
          <w:strike/>
        </w:rPr>
        <w:t xml:space="preserve">rental</w:t>
      </w:r>
      <w:r>
        <w:t>))</w:t>
      </w:r>
      <w:r>
        <w:rPr/>
        <w:t xml:space="preserve"> </w:t>
      </w:r>
      <w:r>
        <w:rPr>
          <w:u w:val="single"/>
        </w:rPr>
        <w:t xml:space="preserve">rent</w:t>
      </w:r>
      <w:r>
        <w:rPr/>
        <w:t xml:space="preserve"> and prescribe the terms and conditions of the lease. However, in fixing the </w:t>
      </w:r>
      <w:r>
        <w:t>((</w:t>
      </w:r>
      <w:r>
        <w:rPr>
          <w:strike/>
        </w:rPr>
        <w:t xml:space="preserve">rental</w:t>
      </w:r>
      <w:r>
        <w:t>))</w:t>
      </w:r>
      <w:r>
        <w:rPr/>
        <w:t xml:space="preserve"> </w:t>
      </w:r>
      <w:r>
        <w:rPr>
          <w:u w:val="single"/>
        </w:rPr>
        <w:t xml:space="preserve">rent</w:t>
      </w:r>
      <w:r>
        <w:rPr/>
        <w:t xml:space="preserve">, the department shall not take into account the value of any improvements placed upon the lands by the lessee.</w:t>
      </w:r>
    </w:p>
    <w:p>
      <w:pPr>
        <w:spacing w:before="0" w:after="0" w:line="408" w:lineRule="exact"/>
        <w:ind w:left="0" w:right="0" w:firstLine="576"/>
        <w:jc w:val="left"/>
      </w:pPr>
      <w:r>
        <w:rPr/>
        <w:t xml:space="preserve">(2) No lease issued under the provisions of this chapter shall be for a term longer than thirty years </w:t>
      </w:r>
      <w:r>
        <w:t>((</w:t>
      </w:r>
      <w:r>
        <w:rPr>
          <w:strike/>
        </w:rPr>
        <w:t xml:space="preserve">from the date thereof if in front of second-class tidelands or shorelands; or a term longer than ten years if in front of unplatted first-class tidelands or shorelands leased under the provisions of RCW 79.125.410, in which case the lease shall be subject to the same terms and conditions as provided for in the lease of the unplatted first-class tidelands or shorelands</w:t>
      </w:r>
      <w:r>
        <w:t>))</w:t>
      </w:r>
      <w:r>
        <w:rPr/>
        <w:t xml:space="preserve">. Failure to use those beds leased under the provisions of this chapter for booming purposes, for a period of two years shall work a forfeiture of the lease and the land shall revert to the state without notice to the lessee upon the entry of a declaration of forfeiture in the records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030</w:t>
      </w:r>
      <w:r>
        <w:rPr/>
        <w:t xml:space="preserve"> and 2005 c 155 s 502 are each amended to read as follows:</w:t>
      </w:r>
    </w:p>
    <w:p>
      <w:pPr>
        <w:spacing w:before="0" w:after="0" w:line="408" w:lineRule="exact"/>
        <w:ind w:left="0" w:right="0" w:firstLine="576"/>
        <w:jc w:val="left"/>
      </w:pPr>
      <w:r>
        <w:rPr/>
        <w:t xml:space="preserve">The department may survey and plat any </w:t>
      </w:r>
      <w:r>
        <w:t>((</w:t>
      </w:r>
      <w:r>
        <w:rPr>
          <w:strike/>
        </w:rPr>
        <w:t xml:space="preserve">second-class</w:t>
      </w:r>
      <w:r>
        <w:t>))</w:t>
      </w:r>
      <w:r>
        <w:rPr/>
        <w:t xml:space="preserve"> tidelands and shorelands not previously platted.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When the department determines to sell the lands, they </w:t>
      </w:r>
      <w:r>
        <w:t>((</w:t>
      </w:r>
      <w:r>
        <w:rPr>
          <w:strike/>
        </w:rPr>
        <w:t xml:space="preserve">shall initially be</w:t>
      </w:r>
      <w:r>
        <w:t>))</w:t>
      </w:r>
      <w:r>
        <w:rPr/>
        <w:t xml:space="preserve"> </w:t>
      </w:r>
      <w:r>
        <w:rPr>
          <w:u w:val="single"/>
        </w:rPr>
        <w:t xml:space="preserve">must be either: (a) O</w:t>
      </w:r>
      <w:r>
        <w:rPr/>
        <w:t xml:space="preserve">ffered for sale </w:t>
      </w:r>
      <w:r>
        <w:t>((</w:t>
      </w:r>
      <w:r>
        <w:rPr>
          <w:strike/>
        </w:rPr>
        <w:t xml:space="preserve">either</w:t>
      </w:r>
      <w:r>
        <w:t>))</w:t>
      </w:r>
      <w:r>
        <w:rPr/>
        <w:t xml:space="preserve"> at public auction </w:t>
      </w:r>
      <w:r>
        <w:t>((</w:t>
      </w:r>
      <w:r>
        <w:rPr>
          <w:strike/>
        </w:rPr>
        <w:t xml:space="preserve">or direct sale to public agencies</w:t>
      </w:r>
      <w:r>
        <w:t>))</w:t>
      </w:r>
      <w:r>
        <w:rPr/>
        <w:t xml:space="preserve"> as provided in this chapter</w:t>
      </w:r>
      <w:r>
        <w:t>((</w:t>
      </w:r>
      <w:r>
        <w:rPr>
          <w:strike/>
        </w:rPr>
        <w:t xml:space="preserve">.</w:t>
      </w:r>
    </w:p>
    <w:p>
      <w:pPr>
        <w:spacing w:before="0" w:after="0" w:line="408" w:lineRule="exact"/>
        <w:ind w:left="0" w:right="0" w:firstLine="576"/>
        <w:jc w:val="left"/>
      </w:pPr>
      <w:r>
        <w:rPr>
          <w:strike/>
        </w:rPr>
        <w:t xml:space="preserve">(3) If the lands are not sold at public auction, the department may,</w:t>
      </w:r>
      <w:r>
        <w:t>))</w:t>
      </w:r>
      <w:r>
        <w:rPr>
          <w:u w:val="single"/>
        </w:rPr>
        <w:t xml:space="preserve">; (b) offered for direct sale to public agencies as provided in RCW 79.17.200; or (c)</w:t>
      </w:r>
      <w:r>
        <w:rPr/>
        <w:t xml:space="preserve"> with approval of the board, </w:t>
      </w:r>
      <w:r>
        <w:t>((</w:t>
      </w:r>
      <w:r>
        <w:rPr>
          <w:strike/>
        </w:rPr>
        <w:t xml:space="preserve">market the lands</w:t>
      </w:r>
      <w:r>
        <w:t>))</w:t>
      </w:r>
      <w:r>
        <w:rPr/>
        <w:t xml:space="preserve"> </w:t>
      </w:r>
      <w:r>
        <w:rPr>
          <w:u w:val="single"/>
        </w:rPr>
        <w:t xml:space="preserve">marketed</w:t>
      </w:r>
      <w:r>
        <w:rPr/>
        <w:t xml:space="preserve"> through persons licensed under chapter 18.85 RCW or through other commercially feasible means at a price not lower than the land's appraised value.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200</w:t>
      </w:r>
      <w:r>
        <w:rPr/>
        <w:t xml:space="preserve"> and 1992 c 167 s 2 are each amended to read as follows:</w:t>
      </w:r>
    </w:p>
    <w:p>
      <w:pPr>
        <w:spacing w:before="0" w:after="0" w:line="408" w:lineRule="exact"/>
        <w:ind w:left="0" w:right="0" w:firstLine="576"/>
        <w:jc w:val="left"/>
      </w:pPr>
      <w:r>
        <w:rPr/>
        <w:t xml:space="preserve">(1) For the purposes of this section, "public agency" means any agency, political subdivision, or unit of local government of this state including, but not limited to, municipal corporations, quasi-municipal corporations, special purpose districts, and local service districts; any agency of the state government; any agency of the United States; and any Indian tribe recognized as such by the federal government.</w:t>
      </w:r>
    </w:p>
    <w:p>
      <w:pPr>
        <w:spacing w:before="0" w:after="0" w:line="408" w:lineRule="exact"/>
        <w:ind w:left="0" w:right="0" w:firstLine="576"/>
        <w:jc w:val="left"/>
      </w:pPr>
      <w:r>
        <w:rPr/>
        <w:t xml:space="preserve">(2) With the approval of the board of natural resources, the department of natural resources may directly transfer or dispose of real property, without public auction, in the following circumstances:</w:t>
      </w:r>
    </w:p>
    <w:p>
      <w:pPr>
        <w:spacing w:before="0" w:after="0" w:line="408" w:lineRule="exact"/>
        <w:ind w:left="0" w:right="0" w:firstLine="576"/>
        <w:jc w:val="left"/>
      </w:pPr>
      <w:r>
        <w:rPr/>
        <w:t xml:space="preserve">(a) Transfers in lieu of condemnations;</w:t>
      </w:r>
    </w:p>
    <w:p>
      <w:pPr>
        <w:spacing w:before="0" w:after="0" w:line="408" w:lineRule="exact"/>
        <w:ind w:left="0" w:right="0" w:firstLine="576"/>
        <w:jc w:val="left"/>
      </w:pPr>
      <w:r>
        <w:rPr/>
        <w:t xml:space="preserve">(b) Transfers to public agencies; </w:t>
      </w:r>
      <w:r>
        <w:t>((</w:t>
      </w:r>
      <w:r>
        <w:rPr>
          <w:strike/>
        </w:rPr>
        <w:t xml:space="preserve">and</w:t>
      </w:r>
      <w:r>
        <w:t>))</w:t>
      </w:r>
    </w:p>
    <w:p>
      <w:pPr>
        <w:spacing w:before="0" w:after="0" w:line="408" w:lineRule="exact"/>
        <w:ind w:left="0" w:right="0" w:firstLine="576"/>
        <w:jc w:val="left"/>
      </w:pPr>
      <w:r>
        <w:rPr/>
        <w:t xml:space="preserve">(c) Transfers to resolve trespass and property ownership disputes</w:t>
      </w:r>
      <w:r>
        <w:rPr>
          <w:u w:val="single"/>
        </w:rPr>
        <w:t xml:space="preserve">; and</w:t>
      </w:r>
    </w:p>
    <w:p>
      <w:pPr>
        <w:spacing w:before="0" w:after="0" w:line="408" w:lineRule="exact"/>
        <w:ind w:left="0" w:right="0" w:firstLine="576"/>
        <w:jc w:val="left"/>
      </w:pPr>
      <w:r>
        <w:rPr>
          <w:u w:val="single"/>
        </w:rPr>
        <w:t xml:space="preserve">(d) Transfers of real property to a lessee that has continuously leased the real property directly from the department of natural resources for purposes of a home site since prior to the effective date of this section. This subsection (2)(d) does not apply to aquatic lands as defined by RCW 79.105.060, or to lessees that do not hold a lease for the real property directly with the department of natural resources</w:t>
      </w:r>
      <w:r>
        <w:rPr/>
        <w:t xml:space="preserve">.</w:t>
      </w:r>
    </w:p>
    <w:p>
      <w:pPr>
        <w:spacing w:before="0" w:after="0" w:line="408" w:lineRule="exact"/>
        <w:ind w:left="0" w:right="0" w:firstLine="576"/>
        <w:jc w:val="left"/>
      </w:pPr>
      <w:r>
        <w:rPr/>
        <w:t xml:space="preserve">(3) Real property to be transferred or disposed of under this section shall be transferred or disposed of only after appraisal and for at least fair market value, and only if such transaction is in the best interest of the state or affected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evaluate the department's lands portfolio and revenue streams, management practices, and transaction processes, and develop options and recommendations designed to ensure the state's fiduciary duty is being met and ensure the stability of revenue from state lands and state forestland over time. The department must develop methods or tools to estimate the current asset value of state lands and state forestlands, as defined in RCW 79.02.010. The methods should be designed to be as accurate and resource efficient as possible and be designed to allow repeated estimates over time. The methods must allow for the segregation of different asset classes, and at a minimum allow for the tracking of values over time for the following: Forestland, irrigated agricultural land, nonirrigated agricultural land, commercial real estate land, ecosystem services, and recreation benefits. The department may recommend other asset classes to track in addition to those listed.</w:t>
      </w:r>
    </w:p>
    <w:p>
      <w:pPr>
        <w:spacing w:before="0" w:after="0" w:line="408" w:lineRule="exact"/>
        <w:ind w:left="0" w:right="0" w:firstLine="576"/>
        <w:jc w:val="left"/>
      </w:pPr>
      <w:r>
        <w:rPr/>
        <w:t xml:space="preserve">(2) The department must use the services of a contractor to perform an independent evaluation of the current asset value of the trust land portfolio and revenue streams in comparison to other lands regulated by the department.</w:t>
      </w:r>
    </w:p>
    <w:p>
      <w:pPr>
        <w:spacing w:before="0" w:after="0" w:line="408" w:lineRule="exact"/>
        <w:ind w:left="0" w:right="0" w:firstLine="576"/>
        <w:jc w:val="left"/>
      </w:pPr>
      <w:r>
        <w:rPr/>
        <w:t xml:space="preserve">(3) The department must provide a final report to the appropriate committees of the senate and house of representatives by June 30, 2020, that includes the evaluation, analysis, and tools and methods required by this section. The department must provide progress reports by December 1, 2018, and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appropriations, the department of natural resources must prepare an evaluation of leases and easements of state-owned aquatic lands for industrial and commercial uses in existence on January 1, 2018, except leases for purposes of marinas and moorage. The evaluation must include:</w:t>
      </w:r>
    </w:p>
    <w:p>
      <w:pPr>
        <w:spacing w:before="0" w:after="0" w:line="408" w:lineRule="exact"/>
        <w:ind w:left="0" w:right="0" w:firstLine="576"/>
        <w:jc w:val="left"/>
      </w:pPr>
      <w:r>
        <w:rPr/>
        <w:t xml:space="preserve">(a) A summary of each lease and easement, including lease term, rental rate, and use conditions;</w:t>
      </w:r>
    </w:p>
    <w:p>
      <w:pPr>
        <w:spacing w:before="0" w:after="0" w:line="408" w:lineRule="exact"/>
        <w:ind w:left="0" w:right="0" w:firstLine="576"/>
        <w:jc w:val="left"/>
      </w:pPr>
      <w:r>
        <w:rPr/>
        <w:t xml:space="preserve">(b) A listing of annual revenues obtained from each lease and easement;</w:t>
      </w:r>
    </w:p>
    <w:p>
      <w:pPr>
        <w:spacing w:before="0" w:after="0" w:line="408" w:lineRule="exact"/>
        <w:ind w:left="0" w:right="0" w:firstLine="576"/>
        <w:jc w:val="left"/>
      </w:pPr>
      <w:r>
        <w:rPr/>
        <w:t xml:space="preserve">(c) A summary of the methods or formula used to value and establish payment for each type of lease and easement;</w:t>
      </w:r>
    </w:p>
    <w:p>
      <w:pPr>
        <w:spacing w:before="0" w:after="0" w:line="408" w:lineRule="exact"/>
        <w:ind w:left="0" w:right="0" w:firstLine="576"/>
        <w:jc w:val="left"/>
      </w:pPr>
      <w:r>
        <w:rPr/>
        <w:t xml:space="preserve">(d) A summary description of inspection and monitoring efforts completed over the previous ten years relating to compliance with the terms of the lease or easement as well as compliance with all applicable water quality and other local, state, or federal environmental, public health, and safety standards;</w:t>
      </w:r>
    </w:p>
    <w:p>
      <w:pPr>
        <w:spacing w:before="0" w:after="0" w:line="408" w:lineRule="exact"/>
        <w:ind w:left="0" w:right="0" w:firstLine="576"/>
        <w:jc w:val="left"/>
      </w:pPr>
      <w:r>
        <w:rPr/>
        <w:t xml:space="preserve">(e) A summary description of the applicable requirements for inspection and monitoring under the terms of the leases and easements as well as other applicable local, state, and federal regulatory requirements;</w:t>
      </w:r>
    </w:p>
    <w:p>
      <w:pPr>
        <w:spacing w:before="0" w:after="0" w:line="408" w:lineRule="exact"/>
        <w:ind w:left="0" w:right="0" w:firstLine="576"/>
        <w:jc w:val="left"/>
      </w:pPr>
      <w:r>
        <w:rPr/>
        <w:t xml:space="preserve">(f) A summary description of the lease and easement compliance activities performed by the department to ensure the protection of the state's aquatic resources, consistent with RCW 79.105.010, is maintained.</w:t>
      </w:r>
    </w:p>
    <w:p>
      <w:pPr>
        <w:spacing w:before="0" w:after="0" w:line="408" w:lineRule="exact"/>
        <w:ind w:left="0" w:right="0" w:firstLine="576"/>
        <w:jc w:val="left"/>
      </w:pPr>
      <w:r>
        <w:rPr/>
        <w:t xml:space="preserve">(2) The department of natural resources must submit the evaluation, including any recommendations for legislative or administrative actions, to the appropriate policy and fiscal committees of the senate and house of representatives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79</w:t>
      </w:r>
      <w:r>
        <w:rPr/>
        <w:t xml:space="preserve">.</w:t>
      </w:r>
      <w:r>
        <w:t xml:space="preserve">125</w:t>
      </w:r>
      <w:r>
        <w:rPr/>
        <w:t xml:space="preserve">.</w:t>
      </w:r>
      <w:r>
        <w:t xml:space="preserve">020</w:t>
      </w:r>
      <w:r>
        <w:rPr/>
        <w:t xml:space="preserve"> (First-class tidelands and shorelands to be platted) and 2005 c 155 s 501 &amp; 1982 1st ex.s. c 21 s 87; and</w:t>
      </w:r>
    </w:p>
    <w:p>
      <w:pPr>
        <w:spacing w:before="0" w:after="0" w:line="408" w:lineRule="exact"/>
        <w:ind w:left="0" w:right="0" w:firstLine="576"/>
        <w:jc w:val="left"/>
      </w:pPr>
      <w:r>
        <w:t>(2)</w:t>
      </w:r>
      <w:r>
        <w:rPr/>
        <w:t xml:space="preserve">RCW </w:t>
      </w:r>
      <w:r>
        <w:t xml:space="preserve">79</w:t>
      </w:r>
      <w:r>
        <w:rPr/>
        <w:t xml:space="preserve">.</w:t>
      </w:r>
      <w:r>
        <w:t xml:space="preserve">125</w:t>
      </w:r>
      <w:r>
        <w:rPr/>
        <w:t xml:space="preserve">.</w:t>
      </w:r>
      <w:r>
        <w:t xml:space="preserve">410</w:t>
      </w:r>
      <w:r>
        <w:rPr/>
        <w:t xml:space="preserve"> (First-class unplatted tidelands and shorelands</w:t>
      </w:r>
      <w:r>
        <w:rPr>
          <w:rFonts w:ascii="Times New Roman" w:hAnsi="Times New Roman"/>
        </w:rPr>
        <w:t xml:space="preserve">—</w:t>
      </w:r>
      <w:r>
        <w:rPr/>
        <w:t xml:space="preserve">Lease preference right to upland owners</w:t>
      </w:r>
      <w:r>
        <w:rPr>
          <w:rFonts w:ascii="Times New Roman" w:hAnsi="Times New Roman"/>
        </w:rPr>
        <w:t xml:space="preserve">—</w:t>
      </w:r>
      <w:r>
        <w:rPr/>
        <w:t xml:space="preserve">Lease for booming purposes) and 2005 c 155 s 527 &amp; 1982 1st ex.s. c 21 s 113."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Brings into alignment the maximum length of leases for certain state-owned aquatic lands.</w:t>
      </w:r>
    </w:p>
    <w:p>
      <w:pPr>
        <w:spacing w:before="0" w:after="0" w:line="408" w:lineRule="exact"/>
        <w:ind w:left="0" w:right="0" w:firstLine="576"/>
        <w:jc w:val="left"/>
      </w:pPr>
      <w:r>
        <w:rPr/>
        <w:t xml:space="preserve">Provides that the Department of Natural Resources (DNR) may, rather than must, plat certain aquatic lands.</w:t>
      </w:r>
    </w:p>
    <w:p>
      <w:pPr>
        <w:spacing w:before="0" w:after="0" w:line="408" w:lineRule="exact"/>
        <w:ind w:left="0" w:right="0" w:firstLine="576"/>
        <w:jc w:val="left"/>
      </w:pPr>
      <w:r>
        <w:rPr/>
        <w:t xml:space="preserve">Authorizes the DNR to market certain uplands through a real estate broker without first offering them for sale at public auction.</w:t>
      </w:r>
    </w:p>
    <w:p>
      <w:pPr>
        <w:spacing w:before="0" w:after="0" w:line="408" w:lineRule="exact"/>
        <w:ind w:left="0" w:right="0" w:firstLine="576"/>
        <w:jc w:val="left"/>
      </w:pPr>
      <w:r>
        <w:rPr/>
        <w:t xml:space="preserve">Authorizes the DNR to transfer certain real property directly, without public auction, to lessees who are currently leasing the property for a home site.</w:t>
      </w:r>
    </w:p>
    <w:p>
      <w:pPr>
        <w:spacing w:before="0" w:after="0" w:line="408" w:lineRule="exact"/>
        <w:ind w:left="0" w:right="0" w:firstLine="576"/>
        <w:jc w:val="left"/>
      </w:pPr>
      <w:r>
        <w:rPr/>
        <w:t xml:space="preserve">Directs the DNR to conduct an evaluation of its lands portfolio, revenue streams, management practices, and transaction processes, in order to ensure that its fiduciary duty is being met. Requires the DNR, as part of its evaluation, to track certain values generated by state trust lands and state forestlands, including, among others, forestland, irrigated and nonirrigated agricultural land, ecosystem services, and recreation benefits.</w:t>
      </w:r>
    </w:p>
    <w:p>
      <w:pPr>
        <w:spacing w:before="0" w:after="0" w:line="408" w:lineRule="exact"/>
        <w:ind w:left="0" w:right="0" w:firstLine="576"/>
        <w:jc w:val="left"/>
      </w:pPr>
      <w:r>
        <w:rPr/>
        <w:t xml:space="preserve">Requires the DNR to use the services of a contractor to perform an independent asset valuation of the trust land portfolio and revenue streams in comparison to other lands regulated by the DNR.</w:t>
      </w:r>
    </w:p>
    <w:p>
      <w:pPr>
        <w:spacing w:before="0" w:after="0" w:line="408" w:lineRule="exact"/>
        <w:ind w:left="0" w:right="0" w:firstLine="576"/>
        <w:jc w:val="left"/>
      </w:pPr>
      <w:r>
        <w:rPr/>
        <w:t xml:space="preserve">Directs the DNR to evaluate certain industrial and commercial leases and easements on state-owned aquatic lands relating to certain matters including lease terms, annual revenues, and inspection and compliance efforts.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79b4c1a034db4" /></Relationships>
</file>