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b840fa05794cad" /></Relationships>
</file>

<file path=word/document.xml><?xml version="1.0" encoding="utf-8"?>
<w:document xmlns:w="http://schemas.openxmlformats.org/wordprocessingml/2006/main">
  <w:body>
    <w:p>
      <w:r>
        <w:rPr>
          <w:b/>
        </w:rPr>
        <w:r>
          <w:rPr/>
          <w:t xml:space="preserve">6002-S.E</w:t>
        </w:r>
      </w:r>
      <w:r>
        <w:rPr>
          <w:b/>
        </w:rPr>
        <w:t xml:space="preserve"> </w:t>
        <w:t xml:space="preserve">AMH</w:t>
      </w:r>
      <w:r>
        <w:rPr>
          <w:b/>
        </w:rPr>
        <w:t xml:space="preserve"> </w:t>
        <w:r>
          <w:rPr/>
          <w:t xml:space="preserve">IRWI</w:t>
        </w:r>
      </w:r>
      <w:r>
        <w:rPr>
          <w:b/>
        </w:rPr>
        <w:t xml:space="preserve"> </w:t>
        <w:r>
          <w:rPr/>
          <w:t xml:space="preserve">H4336.2</w:t>
        </w:r>
      </w:r>
      <w:r>
        <w:rPr>
          <w:b/>
        </w:rPr>
        <w:t xml:space="preserve"> - NOT FOR FLOOR USE</w:t>
      </w:r>
    </w:p>
    <w:p>
      <w:pPr>
        <w:ind w:left="0" w:right="0" w:firstLine="576"/>
      </w:pPr>
    </w:p>
    <w:p>
      <w:pPr>
        <w:spacing w:before="480" w:after="0" w:line="408" w:lineRule="exact"/>
      </w:pPr>
      <w:r>
        <w:rPr>
          <w:b/>
          <w:u w:val="single"/>
        </w:rPr>
        <w:t xml:space="preserve">ESSB 6002</w:t>
      </w:r>
      <w:r>
        <w:t xml:space="preserve"> -</w:t>
      </w:r>
      <w:r>
        <w:t xml:space="preserve"> </w:t>
        <w:t xml:space="preserve">H AMD</w:t>
      </w:r>
      <w:r>
        <w:t xml:space="preserve"> </w:t>
      </w:r>
      <w:r>
        <w:rPr>
          <w:b/>
        </w:rPr>
        <w:t xml:space="preserve">1167</w:t>
      </w:r>
    </w:p>
    <w:p>
      <w:pPr>
        <w:spacing w:before="0" w:after="0" w:line="408" w:lineRule="exact"/>
        <w:ind w:left="0" w:right="0" w:firstLine="576"/>
        <w:jc w:val="left"/>
      </w:pPr>
      <w:r>
        <w:rPr/>
        <w:t xml:space="preserve">By Representative Irwin</w:t>
      </w:r>
    </w:p>
    <w:p>
      <w:pPr>
        <w:jc w:val="right"/>
      </w:pPr>
      <w:r>
        <w:rPr>
          <w:b/>
        </w:rPr>
        <w:t xml:space="preserve">OUT OF ORDER 02/27/2018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(2) "Political subdivision" means any county, city, town, or district, that includes an elected multimember governing body, but does not include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Any political subdivision that conducts an election pursuant to state, county, or local law, is authorized to implement a district-based election system.</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the adoption of its proposed plan, the political subdivision shall provide full and reasonable public notice of its actions. The political subdivision shall hold at least one public hearing on the proposed plan at least one week before adoption.</w:t>
      </w:r>
    </w:p>
    <w:p>
      <w:pPr>
        <w:spacing w:before="0" w:after="0" w:line="408" w:lineRule="exact"/>
        <w:ind w:left="0" w:right="0" w:firstLine="576"/>
        <w:jc w:val="left"/>
      </w:pPr>
      <w:r>
        <w:rPr/>
        <w:t xml:space="preserve">(2)(a)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a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w:t>
      </w:r>
    </w:p>
    <w:p>
      <w:pPr>
        <w:spacing w:before="0" w:after="0" w:line="408" w:lineRule="exact"/>
        <w:ind w:left="0" w:right="0" w:firstLine="576"/>
        <w:jc w:val="left"/>
      </w:pPr>
      <w:r>
        <w:rPr/>
        <w:t xml:space="preserve">(5) No later than eight months after its receipt of federal decennial census data, the governing body of the political subdivision that had previously invoked its authority under this section to implement a district-based election system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The school board of directors may authorize a change to its electoral system pursuant to section 201 of this act. Any staggering of directors' terms shall be accomplished as provided in RCW 28A.343.030 and 28A.343.600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The commissioners of any county may authorize a change to their electoral system pursuant to section 201 of this act.</w:t>
      </w:r>
      <w:r>
        <w:rPr/>
        <w:t xml:space="preserve"> The lines of the districts shall not be changed </w:t>
      </w:r>
      <w:r>
        <w:t>((</w:t>
      </w:r>
      <w:r>
        <w:rPr>
          <w:strike/>
        </w:rPr>
        <w:t xml:space="preserve">oftener</w:t>
      </w:r>
      <w:r>
        <w:t>))</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1982 c 226 s 5 are each amended to read as follows:</w:t>
      </w:r>
    </w:p>
    <w:p>
      <w:pPr>
        <w:spacing w:before="0" w:after="0" w:line="408" w:lineRule="exact"/>
        <w:ind w:left="0" w:right="0" w:firstLine="576"/>
        <w:jc w:val="left"/>
      </w:pPr>
      <w:r>
        <w:rPr/>
        <w:t xml:space="preserve">(1) Except as provided in subsection (2)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u w:val="single"/>
        </w:rPr>
        <w:t xml:space="preserve">(3) The commissioners of any county may authorize a change to their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board of fire commissioners of a fire protection district may authorize a change to its electoral system pursuant to section 201 of this act by majority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port commission may authorize a change to its electoral system pursuant to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and shall be examined every ten years to determine substantial equality of population in accordance with chapter 29A.76 RCW. Except as provided in this section</w:t>
      </w:r>
      <w:r>
        <w:rPr>
          <w:u w:val="single"/>
        </w:rPr>
        <w:t xml:space="preserve">, section 201 of this act,</w:t>
      </w:r>
      <w:r>
        <w:rPr/>
        <w:t xml:space="preserve"> or RCW 54.04.039,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201, and 202 of this act constitute a new chapter in </w:t>
      </w:r>
      <w:r>
        <w:rPr/>
        <w:t xml:space="preserve">Title </w:t>
      </w:r>
      <w:r>
        <w:t xml:space="preserve">29A</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current language.</w:t>
      </w:r>
    </w:p>
    <w:p>
      <w:pPr>
        <w:spacing w:before="0" w:after="0" w:line="408" w:lineRule="exact"/>
        <w:ind w:left="0" w:right="0" w:firstLine="576"/>
        <w:jc w:val="left"/>
      </w:pPr>
      <w:r>
        <w:rPr/>
        <w:t xml:space="preserve">Allows any county, city, town, or district, with a multimember governing body, to establish district-based elections.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7ed18d89134f07" /></Relationships>
</file>