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0e964688a498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6002-S.E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GRAV</w:t>
        </w:r>
      </w:r>
      <w:r>
        <w:rPr>
          <w:b/>
        </w:rPr>
        <w:t xml:space="preserve"> </w:t>
        <w:r>
          <w:rPr/>
          <w:t xml:space="preserve">H4175.2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6002</w:t>
      </w:r>
      <w:r>
        <w:t xml:space="preserve"> -</w:t>
      </w:r>
      <w:r>
        <w:t xml:space="preserve"> </w:t>
        <w:t xml:space="preserve">H AMD TO SEIT COMM AMD (H-4828.2/18)</w:t>
      </w:r>
      <w:r>
        <w:t xml:space="preserve"> </w:t>
      </w:r>
      <w:r>
        <w:rPr>
          <w:b/>
        </w:rPr>
        <w:t xml:space="preserve">1106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Graves</w:t>
      </w:r>
    </w:p>
    <w:p>
      <w:pPr>
        <w:jc w:val="right"/>
      </w:pPr>
      <w:r>
        <w:rPr>
          <w:b/>
        </w:rPr>
        <w:t xml:space="preserve">NOT ADOPTED 02/27/2018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beginning on line 29 of the amendment, after "stage." strike all material through "stage." on line 31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rebuttable presumption against a subdivision's proposed remedy submitted for court approval.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f950e9c2e4985" /></Relationships>
</file>