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8ece3552aa466b" /></Relationships>
</file>

<file path=word/document.xml><?xml version="1.0" encoding="utf-8"?>
<w:document xmlns:w="http://schemas.openxmlformats.org/wordprocessingml/2006/main">
  <w:body>
    <w:p>
      <w:r>
        <w:rPr>
          <w:b/>
        </w:rPr>
        <w:r>
          <w:rPr/>
          <w:t xml:space="preserve">5639</w:t>
        </w:r>
      </w:r>
      <w:r>
        <w:rPr>
          <w:b/>
        </w:rPr>
        <w:t xml:space="preserve"> </w:t>
        <w:t xml:space="preserve">AMH</w:t>
      </w:r>
      <w:r>
        <w:rPr>
          <w:b/>
        </w:rPr>
        <w:t xml:space="preserve"> </w:t>
        <w:r>
          <w:rPr/>
          <w:t xml:space="preserve">APP</w:t>
        </w:r>
      </w:r>
      <w:r>
        <w:rPr>
          <w:b/>
        </w:rPr>
        <w:t xml:space="preserve"> </w:t>
        <w:r>
          <w:rPr/>
          <w:t xml:space="preserve">H2610.1</w:t>
        </w:r>
      </w:r>
      <w:r>
        <w:rPr>
          <w:b/>
        </w:rPr>
        <w:t xml:space="preserve"> - NOT FOR FLOOR USE</w:t>
      </w:r>
    </w:p>
    <w:p>
      <w:pPr>
        <w:ind w:left="0" w:right="0" w:firstLine="576"/>
      </w:pPr>
    </w:p>
    <w:p>
      <w:pPr>
        <w:spacing w:before="480" w:after="0" w:line="408" w:lineRule="exact"/>
      </w:pPr>
      <w:r>
        <w:rPr>
          <w:b/>
          <w:u w:val="single"/>
        </w:rPr>
        <w:t xml:space="preserve">SB 5639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04/10/2017</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DISCONTINUING CERTIFICATES OF ACADEMIC AND INDIVIDUAL ACHIEVEMENT AS GRADUATION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155</w:t>
      </w:r>
      <w:r>
        <w:rPr/>
        <w:t xml:space="preserve">.</w:t>
      </w:r>
      <w:r>
        <w:t xml:space="preserve">045</w:t>
      </w:r>
      <w:r>
        <w:rPr/>
        <w:t xml:space="preserve"> and 2007 c 354 s 3 are each amended to read as follows:</w:t>
      </w:r>
    </w:p>
    <w:p>
      <w:pPr>
        <w:spacing w:before="0" w:after="0" w:line="408" w:lineRule="exact"/>
        <w:ind w:left="0" w:right="0" w:firstLine="576"/>
        <w:jc w:val="left"/>
      </w:pPr>
      <w:r>
        <w:rPr/>
        <w:t xml:space="preserve">Beginning with the graduating class of 2008, students served under this chapter, who are not appropriately assessed by the high school Washington assessment system </w:t>
      </w:r>
      <w:r>
        <w:t>((</w:t>
      </w:r>
      <w:r>
        <w:rPr>
          <w:strike/>
        </w:rPr>
        <w:t xml:space="preserve">as defined in RCW 28A.655.061</w:t>
      </w:r>
      <w:r>
        <w:t>))</w:t>
      </w:r>
      <w:r>
        <w:rPr/>
        <w:t xml:space="preserve"> </w:t>
      </w:r>
      <w:r>
        <w:rPr>
          <w:u w:val="single"/>
        </w:rPr>
        <w:t xml:space="preserve">established in accordance with RCW 28A.655.070</w:t>
      </w:r>
      <w:r>
        <w:rPr/>
        <w:t xml:space="preserve">, even with accommodations, may </w:t>
      </w:r>
      <w:r>
        <w:t>((</w:t>
      </w:r>
      <w:r>
        <w:rPr>
          <w:strike/>
        </w:rPr>
        <w:t xml:space="preserve">earn a certificate of individual achievement. The certificate may be earned using multiple ways to</w:t>
      </w:r>
      <w:r>
        <w:t>))</w:t>
      </w:r>
      <w:r>
        <w:rPr>
          <w:u w:val="single"/>
        </w:rPr>
        <w:t xml:space="preserve">, through multiple options,</w:t>
      </w:r>
      <w:r>
        <w:rPr/>
        <w:t xml:space="preserve"> demonstrate skills and abilities commensurate with their individual education programs. The determination of whether the high school assessment system is appropriate shall be made by the student's individual education program team. </w:t>
      </w:r>
      <w:r>
        <w:t>((</w:t>
      </w:r>
      <w:r>
        <w:rPr>
          <w:strike/>
        </w:rPr>
        <w:t xml:space="preserve">Except as provided in RCW 28A.655.0611, for these students, the certificate of individual achievement is required for graduation from a public high school, but need not be the only requirement for graduation.</w:t>
      </w:r>
      <w:r>
        <w:t>))</w:t>
      </w:r>
      <w:r>
        <w:rPr/>
        <w:t xml:space="preserve"> When measures other than the high school assessment system </w:t>
      </w:r>
      <w:r>
        <w:t>((</w:t>
      </w:r>
      <w:r>
        <w:rPr>
          <w:strike/>
        </w:rPr>
        <w:t xml:space="preserve">as defined in RCW 28A.655.061</w:t>
      </w:r>
      <w:r>
        <w:t>))</w:t>
      </w:r>
      <w:r>
        <w:rPr/>
        <w:t xml:space="preserve"> </w:t>
      </w:r>
      <w:r>
        <w:rPr>
          <w:u w:val="single"/>
        </w:rPr>
        <w:t xml:space="preserve">established in accordance with RCW 28A.655.070</w:t>
      </w:r>
      <w:r>
        <w:rPr/>
        <w:t xml:space="preserve"> are used, the measures shall be in agreement with the appropriate educational opportunity provided for the student as required by this chapter. The superintendent of public instruction shall develop the guidelines for determining which students should not be required to participate in the high school assessment system and which types of assessments are appropriate to use.</w:t>
      </w:r>
    </w:p>
    <w:p>
      <w:pPr>
        <w:spacing w:before="0" w:after="0" w:line="408" w:lineRule="exact"/>
        <w:ind w:left="0" w:right="0" w:firstLine="576"/>
        <w:jc w:val="left"/>
      </w:pPr>
      <w:r>
        <w:rPr/>
        <w:t xml:space="preserve">When measures other than the high school assessment system </w:t>
      </w:r>
      <w:r>
        <w:t>((</w:t>
      </w:r>
      <w:r>
        <w:rPr>
          <w:strike/>
        </w:rPr>
        <w:t xml:space="preserve">as defined in RCW 28A.655.061</w:t>
      </w:r>
      <w:r>
        <w:t>))</w:t>
      </w:r>
      <w:r>
        <w:rPr/>
        <w:t xml:space="preserve"> </w:t>
      </w:r>
      <w:r>
        <w:rPr>
          <w:u w:val="single"/>
        </w:rPr>
        <w:t xml:space="preserve">established in accordance with RCW 28A.655.070</w:t>
      </w:r>
      <w:r>
        <w:rPr/>
        <w:t xml:space="preserve"> are used for high school graduation purposes, the student's high school transcript shall note whether that student </w:t>
      </w:r>
      <w:r>
        <w:t>((</w:t>
      </w:r>
      <w:r>
        <w:rPr>
          <w:strike/>
        </w:rPr>
        <w:t xml:space="preserve">has earned a certificate of individual achievement</w:t>
      </w:r>
      <w:r>
        <w:t>))</w:t>
      </w:r>
      <w:r>
        <w:rPr/>
        <w:t xml:space="preserve"> </w:t>
      </w:r>
      <w:r>
        <w:rPr>
          <w:u w:val="single"/>
        </w:rPr>
        <w:t xml:space="preserve">was assessed with alternative assessments</w:t>
      </w:r>
      <w:r>
        <w:rPr/>
        <w:t xml:space="preserve">.</w:t>
      </w:r>
    </w:p>
    <w:p>
      <w:pPr>
        <w:spacing w:before="0" w:after="0" w:line="408" w:lineRule="exact"/>
        <w:ind w:left="0" w:right="0" w:firstLine="576"/>
        <w:jc w:val="left"/>
      </w:pPr>
      <w:r>
        <w:rPr/>
        <w:t xml:space="preserve">Nothing in this section shall be construed to deny a student the right to participation in the high school assessment system </w:t>
      </w:r>
      <w:r>
        <w:t>((</w:t>
      </w:r>
      <w:r>
        <w:rPr>
          <w:strike/>
        </w:rPr>
        <w:t xml:space="preserve">as defined in RCW 28A.655.061, and, upon successfully meeting the high school standard, receipt of the certificate of academic achievement</w:t>
      </w:r>
      <w:r>
        <w:t>))</w:t>
      </w:r>
      <w:r>
        <w:rPr/>
        <w:t xml:space="preserve"> </w:t>
      </w:r>
      <w:r>
        <w:rPr>
          <w:u w:val="single"/>
        </w:rPr>
        <w:t xml:space="preserve">established in accordance with RCW 28A.655.070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162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(c)</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w:t>
      </w:r>
      <w:r>
        <w:t>((</w:t>
      </w:r>
      <w:r>
        <w:rPr>
          <w:strike/>
        </w:rPr>
        <w:t xml:space="preserve">the purposes of earning a certificate of academic achievement for high school graduation under the timeline established in RCW 28A.655.061 and for</w:t>
      </w:r>
      <w:r>
        <w:t>))</w:t>
      </w:r>
      <w:r>
        <w:rPr/>
        <w:t xml:space="preserve">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MODIFICATIONS TO PROVISIONS OF EDUCATION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w:t>
      </w:r>
      <w:r>
        <w:t>((</w:t>
      </w:r>
      <w:r>
        <w:rPr>
          <w:strike/>
        </w:rPr>
        <w:t xml:space="preserve">earned a certificate of academic achievement</w:t>
      </w:r>
      <w:r>
        <w:t>))</w:t>
      </w:r>
      <w:r>
        <w:rPr/>
        <w:t xml:space="preserve"> </w:t>
      </w:r>
      <w:r>
        <w:rPr>
          <w:u w:val="single"/>
        </w:rPr>
        <w:t xml:space="preserve">met all applicable graduation requirements</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t xml:space="preserve"> </w:t>
      </w:r>
      <w:r>
        <w:rPr>
          <w:u w:val="single"/>
        </w:rPr>
        <w:t xml:space="preserve">and</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w:t>
      </w:r>
      <w:r>
        <w:t>((</w:t>
      </w:r>
      <w:r>
        <w:rPr>
          <w:strike/>
        </w:rPr>
        <w:t xml:space="preserve">,</w:t>
      </w:r>
      <w:r>
        <w:t>))</w:t>
      </w:r>
      <w:r>
        <w:rPr/>
        <w:t xml:space="preserve"> </w:t>
      </w:r>
      <w:r>
        <w:rPr>
          <w:u w:val="single"/>
        </w:rPr>
        <w:t xml:space="preserve">or</w:t>
      </w:r>
      <w:r>
        <w:rPr/>
        <w:t xml:space="preserve"> master the essential academic learning requirements,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w:t>
      </w:r>
      <w:r>
        <w:t>))</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 what options students have to meet graduation requirements if they do not pass a given assessment;</w:t>
      </w:r>
    </w:p>
    <w:p>
      <w:pPr>
        <w:spacing w:before="0" w:after="0" w:line="408" w:lineRule="exact"/>
        <w:ind w:left="0" w:right="0" w:firstLine="576"/>
        <w:jc w:val="left"/>
      </w:pPr>
      <w:r>
        <w:rPr>
          <w:strike/>
        </w:rPr>
        <w:t xml:space="preserve">(c)</w:t>
      </w:r>
      <w:r>
        <w:t>))</w:t>
      </w:r>
      <w:r>
        <w:rPr/>
        <w:t xml:space="preserve"> Whether the results of the assessment will be used for program placement or grade-level advancement;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ADDITIONAL AND REPEALED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To help assure continued progress in academic achievement as a foundation for high school graduation and to assure that students are on track for high school graduation, each school district must prepare plans for and notify students and their parents or legal guardians as provided in this 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must be notified about the information in the student learning plan, preferably through a parent conference and at least annually. To the extent feasible, schools serving English language learner students and their parents must translate the plan into the primary language of the family. The plan must include the following information as applicable:</w:t>
      </w:r>
    </w:p>
    <w:p>
      <w:pPr>
        <w:spacing w:before="0" w:after="0" w:line="408" w:lineRule="exact"/>
        <w:ind w:left="0" w:right="0" w:firstLine="576"/>
        <w:jc w:val="left"/>
      </w:pPr>
      <w:r>
        <w:rPr/>
        <w:t xml:space="preserve">(1) The student's results on the state assessment;</w:t>
      </w:r>
    </w:p>
    <w:p>
      <w:pPr>
        <w:spacing w:before="0" w:after="0" w:line="408" w:lineRule="exact"/>
        <w:ind w:left="0" w:right="0" w:firstLine="576"/>
        <w:jc w:val="left"/>
      </w:pPr>
      <w:r>
        <w:rPr/>
        <w:t xml:space="preserve">(2) If the student is in the transitional bilingual instruction program, the score on his or her Washington language proficiency test II;</w:t>
      </w:r>
    </w:p>
    <w:p>
      <w:pPr>
        <w:spacing w:before="0" w:after="0" w:line="408" w:lineRule="exact"/>
        <w:ind w:left="0" w:right="0" w:firstLine="576"/>
        <w:jc w:val="left"/>
      </w:pPr>
      <w:r>
        <w:rPr/>
        <w:t xml:space="preserve">(3) Any credit deficiencies;</w:t>
      </w:r>
    </w:p>
    <w:p>
      <w:pPr>
        <w:spacing w:before="0" w:after="0" w:line="408" w:lineRule="exact"/>
        <w:ind w:left="0" w:right="0" w:firstLine="576"/>
        <w:jc w:val="left"/>
      </w:pPr>
      <w:r>
        <w:rPr/>
        <w:t xml:space="preserve">(4) The student's attendance rates over the previous two years;</w:t>
      </w:r>
    </w:p>
    <w:p>
      <w:pPr>
        <w:spacing w:before="0" w:after="0" w:line="408" w:lineRule="exact"/>
        <w:ind w:left="0" w:right="0" w:firstLine="576"/>
        <w:jc w:val="left"/>
      </w:pPr>
      <w:r>
        <w:rPr/>
        <w:t xml:space="preserve">(5) The student's progress toward meeting state and local graduation requirements;</w:t>
      </w:r>
    </w:p>
    <w:p>
      <w:pPr>
        <w:spacing w:before="0" w:after="0" w:line="408" w:lineRule="exact"/>
        <w:ind w:left="0" w:right="0" w:firstLine="576"/>
        <w:jc w:val="left"/>
      </w:pPr>
      <w:r>
        <w:rPr/>
        <w:t xml:space="preserve">(6)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(7)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(8)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(9)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2015 3rd sp.s. c 42 s 2, 2013 2nd sp.s. c 22 s 2, 2011 1st sp.s. c 22 s 2, 2010 c 244 s 1, 2009 c 524 s 5, &amp; 2008 c 321 s 2;</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and</w:t>
      </w:r>
    </w:p>
    <w:p>
      <w:pPr>
        <w:spacing w:before="0" w:after="0" w:line="408" w:lineRule="exact"/>
        <w:ind w:left="0" w:right="0" w:firstLine="576"/>
        <w:jc w:val="left"/>
      </w:pPr>
      <w:r>
        <w:t>(6)</w:t>
      </w:r>
      <w:r>
        <w:rPr/>
        <w:t xml:space="preserve">RCW </w:t>
      </w:r>
      <w:r>
        <w:t xml:space="preserve">28A</w:t>
      </w:r>
      <w:r>
        <w:rPr/>
        <w:t xml:space="preserve">.</w:t>
      </w:r>
      <w:r>
        <w:t xml:space="preserve">655</w:t>
      </w:r>
      <w:r>
        <w:rPr/>
        <w:t xml:space="preserve">.</w:t>
      </w:r>
      <w:r>
        <w:t xml:space="preserve">068</w:t>
      </w:r>
      <w:r>
        <w:rPr/>
        <w:t xml:space="preserve"> (Statewide high school assessment in science) and 2013 2nd sp.s. c 22 s 4 &amp; 2011 1st sp.s. c 22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beginning with the graduating class of 2014.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all provisions of the underlying bill.</w:t>
      </w:r>
    </w:p>
    <w:p>
      <w:pPr>
        <w:spacing w:before="0" w:after="0" w:line="408" w:lineRule="exact"/>
        <w:ind w:left="0" w:right="0" w:firstLine="576"/>
        <w:jc w:val="left"/>
      </w:pPr>
      <w:r>
        <w:rPr/>
        <w:t xml:space="preserve">(2) Decouples graduation requirements from statewide high school assessments by discontinuing the Certificate of Academic Achievement (CAA), the earning of which is currently required as proof that a student has successfully met standard on statewide assessments required for graduation.</w:t>
      </w:r>
    </w:p>
    <w:p>
      <w:pPr>
        <w:spacing w:before="0" w:after="0" w:line="408" w:lineRule="exact"/>
        <w:ind w:left="0" w:right="0" w:firstLine="576"/>
        <w:jc w:val="left"/>
      </w:pPr>
      <w:r>
        <w:rPr/>
        <w:t xml:space="preserve">(3) Discontinues the Certificate of Individual Achievement (CIA) for students requiring special education who are not appropriately assessed by the state assessment system.</w:t>
      </w:r>
    </w:p>
    <w:p>
      <w:pPr>
        <w:spacing w:before="0" w:after="0" w:line="408" w:lineRule="exact"/>
        <w:ind w:left="0" w:right="0" w:firstLine="576"/>
        <w:jc w:val="left"/>
      </w:pPr>
      <w:r>
        <w:rPr/>
        <w:t xml:space="preserve">(4) Makes numerous changes related to the discontinuation of the CAA and the CIA, including eliminating alternate assessments for students who have not met standard on statewide assessments, and modifying provisions requiring the State Board of Education (SBE) to identify scores that high school students must meet in order to earn a CAA.</w:t>
      </w:r>
    </w:p>
    <w:p>
      <w:pPr>
        <w:spacing w:before="0" w:after="0" w:line="408" w:lineRule="exact"/>
        <w:ind w:left="0" w:right="0" w:firstLine="576"/>
        <w:jc w:val="left"/>
      </w:pPr>
      <w:r>
        <w:rPr/>
        <w:t xml:space="preserve">(5) Preserves provisions requiring that the Superintendent of Public Instruction and the SBE maintain and continue to develop and revise a statewide assessment system for students in the content areas of reading, writing, mathematics, and science, but removes certain provisions governing mathematics and science assessments.</w:t>
      </w:r>
    </w:p>
    <w:p>
      <w:pPr>
        <w:spacing w:before="0" w:after="0" w:line="408" w:lineRule="exact"/>
        <w:ind w:left="0" w:right="0" w:firstLine="576"/>
        <w:jc w:val="left"/>
      </w:pPr>
      <w:r>
        <w:rPr/>
        <w:t xml:space="preserve">(6) Modifies certain high school completion programs, including discontinuing a partially expired high school completion program for qualifying students who have met all graduation requirements except earning a CIA or CAA.</w:t>
      </w:r>
    </w:p>
    <w:p>
      <w:pPr>
        <w:spacing w:before="0" w:after="0" w:line="408" w:lineRule="exact"/>
        <w:ind w:left="0" w:right="0" w:firstLine="576"/>
        <w:jc w:val="left"/>
      </w:pPr>
      <w:r>
        <w:rPr/>
        <w:t xml:space="preserve">(7) Applies to the graduating class of 2014 and in subsequent graduating classes.</w:t>
      </w:r>
    </w:p>
    <w:p>
      <w:pPr>
        <w:spacing w:before="0" w:after="0" w:line="408" w:lineRule="exact"/>
        <w:ind w:left="0" w:right="0" w:firstLine="576"/>
        <w:jc w:val="left"/>
      </w:pPr>
      <w:r>
        <w:rPr/>
        <w:t xml:space="preserve">(8) Includes an emergency clause making all provisions effective immediately.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bdcae5a0194849" /></Relationships>
</file>