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288a87408f04280" /></Relationships>
</file>

<file path=word/document.xml><?xml version="1.0" encoding="utf-8"?>
<w:document xmlns:w="http://schemas.openxmlformats.org/wordprocessingml/2006/main">
  <w:body>
    <w:p>
      <w:r>
        <w:rPr>
          <w:b/>
        </w:rPr>
        <w:r>
          <w:rPr/>
          <w:t xml:space="preserve">5577-S2</w:t>
        </w:r>
      </w:r>
      <w:r>
        <w:rPr>
          <w:b/>
        </w:rPr>
        <w:t xml:space="preserve"> </w:t>
        <w:t xml:space="preserve">AMH</w:t>
      </w:r>
      <w:r>
        <w:rPr>
          <w:b/>
        </w:rPr>
        <w:t xml:space="preserve"> </w:t>
        <w:r>
          <w:rPr/>
          <w:t xml:space="preserve">JUDI</w:t>
        </w:r>
      </w:r>
      <w:r>
        <w:rPr>
          <w:b/>
        </w:rPr>
        <w:t xml:space="preserve"> </w:t>
        <w:r>
          <w:rPr/>
          <w:t xml:space="preserve">H2444.1</w:t>
        </w:r>
      </w:r>
      <w:r>
        <w:rPr>
          <w:b/>
        </w:rPr>
        <w:t xml:space="preserve"> - NOT FOR FLOOR USE</w:t>
      </w:r>
    </w:p>
    <w:p>
      <w:pPr>
        <w:ind w:left="0" w:right="0" w:firstLine="576"/>
      </w:pPr>
      <w:r>
        <w:rPr/>
        <w:t xml:space="preserve"> </w:t>
      </w:r>
    </w:p>
    <w:p>
      <w:pPr>
        <w:spacing w:before="480" w:after="0" w:line="408" w:lineRule="exact"/>
      </w:pPr>
      <w:r>
        <w:rPr>
          <w:b/>
          <w:u w:val="single"/>
        </w:rPr>
        <w:t xml:space="preserve">2SSB 5577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Judiciary</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an incapacitated person retains the right to associate with persons of the incapacitated person's choosing. This right includes, but is not limited to, the right to freely communicate and interact with other persons, whether through in-person visits, telephone calls, electronic communication, personal mail, or other means. If the incapacitated person is unable to express consent for communication, visitation, or interaction with another person, or is otherwise unable to make a decision regarding association with another person, a guardian of the incapacitated person, whether full or limited, must:</w:t>
      </w:r>
    </w:p>
    <w:p>
      <w:pPr>
        <w:spacing w:before="0" w:after="0" w:line="408" w:lineRule="exact"/>
        <w:ind w:left="0" w:right="0" w:firstLine="576"/>
        <w:jc w:val="left"/>
      </w:pPr>
      <w:r>
        <w:rPr/>
        <w:t xml:space="preserve">(a) Personally inform the incapacitated person of the decision under consideration, using plain language, in a manner calculated to maximize the understanding of the incapacitated person;</w:t>
      </w:r>
    </w:p>
    <w:p>
      <w:pPr>
        <w:spacing w:before="0" w:after="0" w:line="408" w:lineRule="exact"/>
        <w:ind w:left="0" w:right="0" w:firstLine="576"/>
        <w:jc w:val="left"/>
      </w:pPr>
      <w:r>
        <w:rPr/>
        <w:t xml:space="preserve">(b) Maximize the incapacitated person's participation in the decision-making process to the greatest extent possible, consistent with the incapacitated person's abilities; and</w:t>
      </w:r>
    </w:p>
    <w:p>
      <w:pPr>
        <w:spacing w:before="0" w:after="0" w:line="408" w:lineRule="exact"/>
        <w:ind w:left="0" w:right="0" w:firstLine="576"/>
        <w:jc w:val="left"/>
      </w:pPr>
      <w:r>
        <w:rPr/>
        <w:t xml:space="preserve">(c) Give substantial weight to the incapacitated person's preferences, both expressed and historical.</w:t>
      </w:r>
    </w:p>
    <w:p>
      <w:pPr>
        <w:spacing w:before="0" w:after="0" w:line="408" w:lineRule="exact"/>
        <w:ind w:left="0" w:right="0" w:firstLine="576"/>
        <w:jc w:val="left"/>
      </w:pPr>
      <w:r>
        <w:rPr/>
        <w:t xml:space="preserve">(2) A guardian or limited guardian may not restrict an incapacitated person's right to communicate, visit, interact, or otherwise associate with persons of the incapacitated person's choosing, unless:</w:t>
      </w:r>
    </w:p>
    <w:p>
      <w:pPr>
        <w:spacing w:before="0" w:after="0" w:line="408" w:lineRule="exact"/>
        <w:ind w:left="0" w:right="0" w:firstLine="576"/>
        <w:jc w:val="left"/>
      </w:pPr>
      <w:r>
        <w:rPr/>
        <w:t xml:space="preserve">(a) The restriction is specifically authorized by the guardianship court in the court order establishing or modifying the guardianship or limited guardianship under chapter 11.88 RCW;</w:t>
      </w:r>
    </w:p>
    <w:p>
      <w:pPr>
        <w:spacing w:before="0" w:after="0" w:line="408" w:lineRule="exact"/>
        <w:ind w:left="0" w:right="0" w:firstLine="576"/>
        <w:jc w:val="left"/>
      </w:pPr>
      <w:r>
        <w:rPr/>
        <w:t xml:space="preserve">(b) The restriction is pursuant to a protection order issued under chapter 74.34 RCW, chapter 26.50 RCW, or other law, that limits contact between the incapacitated person and other persons; or</w:t>
      </w:r>
    </w:p>
    <w:p>
      <w:pPr>
        <w:spacing w:before="0" w:after="0" w:line="408" w:lineRule="exact"/>
        <w:ind w:left="0" w:right="0" w:firstLine="576"/>
        <w:jc w:val="left"/>
      </w:pPr>
      <w:r>
        <w:rPr/>
        <w:t xml:space="preserve">(c)(i) The guardian or limited guardian has good cause to believe that there is an immediate need to restrict an incapacitated person's right to communicate, visit, interact, or otherwise associate with persons of the incapacitated person's choosing in order to protect the incapacitated person from abuse, neglect, abandonment, or financial exploitation, as those terms are defined in RCW 74.34.020, or to protect the incapacitated person from activities that unnecessarily impose significant distress on the incapacitated person; and</w:t>
      </w:r>
    </w:p>
    <w:p>
      <w:pPr>
        <w:spacing w:before="0" w:after="0" w:line="408" w:lineRule="exact"/>
        <w:ind w:left="0" w:right="0" w:firstLine="576"/>
        <w:jc w:val="left"/>
      </w:pPr>
      <w:r>
        <w:rPr/>
        <w:t xml:space="preserve">(ii) Within fourteen calendar days of imposing the restriction under (c)(i) of this subsection, the guardian or limited guardian files a petition for a protection order under chapter 74.34 RCW. The immediate need restriction may remain in place until the court has heard and issued an order or decision on the petition.</w:t>
      </w:r>
    </w:p>
    <w:p>
      <w:pPr>
        <w:spacing w:before="0" w:after="0" w:line="408" w:lineRule="exact"/>
        <w:ind w:left="0" w:right="0" w:firstLine="576"/>
        <w:jc w:val="left"/>
      </w:pPr>
      <w:r>
        <w:rPr/>
        <w:t xml:space="preserve">(3) A protection order under chapter 74.34 RCW issued to protect an incapacitated person as described in subsection (2)(c)(ii) of this section:</w:t>
      </w:r>
    </w:p>
    <w:p>
      <w:pPr>
        <w:spacing w:before="0" w:after="0" w:line="408" w:lineRule="exact"/>
        <w:ind w:left="0" w:right="0" w:firstLine="576"/>
        <w:jc w:val="left"/>
      </w:pPr>
      <w:r>
        <w:rPr/>
        <w:t xml:space="preserve">(a) Must include written findings of fact and conclusions of law;</w:t>
      </w:r>
    </w:p>
    <w:p>
      <w:pPr>
        <w:spacing w:before="0" w:after="0" w:line="408" w:lineRule="exact"/>
        <w:ind w:left="0" w:right="0" w:firstLine="576"/>
        <w:jc w:val="left"/>
      </w:pPr>
      <w:r>
        <w:rPr/>
        <w:t xml:space="preserve">(b) May not be more restrictive than necessary to protect the incapacitated person from abuse, neglect, abandonment, or financial exploitation as those terms are defined in RCW 74.34.020; and</w:t>
      </w:r>
    </w:p>
    <w:p>
      <w:pPr>
        <w:spacing w:before="0" w:after="0" w:line="408" w:lineRule="exact"/>
        <w:ind w:left="0" w:right="0" w:firstLine="576"/>
        <w:jc w:val="left"/>
      </w:pPr>
      <w:r>
        <w:rPr/>
        <w:t xml:space="preserve">(c) May not deny communication, visitation, interaction, or other association between the incapacitated person and another person unless the court finds that placing reasonable time, place, or manner restrictions is unlikely to sufficiently protect the incapacitated person from abuse, neglect, abandonment, or financial exploitation as those terms are defined in RCW 74.34.020.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2015 c 268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w:t>
      </w:r>
      <w:r>
        <w:rPr>
          <w:u w:val="single"/>
        </w:rPr>
        <w:t xml:space="preserve">(a)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u w:val="single"/>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u w:val="single"/>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u w:val="single"/>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u w:val="single"/>
        </w:rPr>
        <w:t xml:space="preserve">(14)</w:t>
      </w:r>
      <w:r>
        <w:rPr/>
        <w:t xml:space="preserve">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043</w:t>
      </w:r>
      <w:r>
        <w:rPr/>
        <w:t xml:space="preserve"> and 2011 c 329 s 3 are each amended to read as follows:</w:t>
      </w:r>
    </w:p>
    <w:p>
      <w:pPr>
        <w:spacing w:before="0" w:after="0" w:line="408" w:lineRule="exact"/>
        <w:ind w:left="0" w:right="0" w:firstLine="576"/>
        <w:jc w:val="left"/>
      </w:pPr>
      <w:r>
        <w:rPr>
          <w:u w:val="single"/>
        </w:rPr>
        <w:t xml:space="preserve">(1)</w:t>
      </w:r>
      <w:r>
        <w:rPr/>
        <w:t xml:space="preserve"> It </w:t>
      </w:r>
      <w:r>
        <w:t>((</w:t>
      </w:r>
      <w:r>
        <w:rPr>
          <w:strike/>
        </w:rPr>
        <w:t xml:space="preserve">shall be</w:t>
      </w:r>
      <w:r>
        <w:t>))</w:t>
      </w:r>
      <w:r>
        <w:rPr/>
        <w:t xml:space="preserve"> </w:t>
      </w:r>
      <w:r>
        <w:rPr>
          <w:u w:val="single"/>
        </w:rPr>
        <w:t xml:space="preserve">is</w:t>
      </w:r>
      <w:r>
        <w:rPr/>
        <w:t xml:space="preserve"> the duty of the guardian or limited guardian of the person: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file within three months after appointment a personal care plan for the incapacitated person</w:t>
      </w:r>
      <w:r>
        <w:rPr>
          <w:u w:val="single"/>
        </w:rPr>
        <w:t xml:space="preserve">,</w:t>
      </w:r>
      <w:r>
        <w:rPr/>
        <w:t xml:space="preserve"> which </w:t>
      </w:r>
      <w:r>
        <w:t>((</w:t>
      </w:r>
      <w:r>
        <w:rPr>
          <w:strike/>
        </w:rPr>
        <w:t xml:space="preserve">shall</w:t>
      </w:r>
      <w:r>
        <w:t>))</w:t>
      </w:r>
      <w:r>
        <w:rPr/>
        <w:t xml:space="preserve"> </w:t>
      </w:r>
      <w:r>
        <w:rPr>
          <w:u w:val="single"/>
        </w:rPr>
        <w:t xml:space="preserve">must</w:t>
      </w:r>
      <w:r>
        <w:rPr/>
        <w:t xml:space="preserve"> include </w:t>
      </w:r>
      <w:r>
        <w:t>((</w:t>
      </w:r>
      <w:r>
        <w:rPr>
          <w:strike/>
        </w:rPr>
        <w:t xml:space="preserve">(a)</w:t>
      </w:r>
      <w:r>
        <w:t>))</w:t>
      </w:r>
      <w:r>
        <w:rPr/>
        <w:t xml:space="preserve"> </w:t>
      </w:r>
      <w:r>
        <w:rPr>
          <w:u w:val="single"/>
        </w:rPr>
        <w:t xml:space="preserve">(i)</w:t>
      </w:r>
      <w:r>
        <w:rPr/>
        <w:t xml:space="preserve"> an assessment of the incapacitated person's physical, mental, and emotional needs and of such person's ability to perform or assist in activities of daily living, and </w:t>
      </w:r>
      <w:r>
        <w:t>((</w:t>
      </w:r>
      <w:r>
        <w:rPr>
          <w:strike/>
        </w:rPr>
        <w:t xml:space="preserve">(b)</w:t>
      </w:r>
      <w:r>
        <w:t>))</w:t>
      </w:r>
      <w:r>
        <w:rPr/>
        <w:t xml:space="preserve"> </w:t>
      </w:r>
      <w:r>
        <w:rPr>
          <w:u w:val="single"/>
        </w:rPr>
        <w:t xml:space="preserve">(ii)</w:t>
      </w:r>
      <w:r>
        <w:rPr/>
        <w:t xml:space="preserve"> the guardian's specific plan for meeting the identified and emerging personal care needs of the incapacitated person.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file annually or, where a guardian of the estate has been appointed, at the time an account is required to be filed under RCW 11.92.040, a report on the status of the incapacitated person, which shall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address and name of the incapacitated person and all residential changes during the period;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services or programs </w:t>
      </w:r>
      <w:r>
        <w:t>((</w:t>
      </w:r>
      <w:r>
        <w:rPr>
          <w:strike/>
        </w:rPr>
        <w:t xml:space="preserve">which</w:t>
      </w:r>
      <w:r>
        <w:t>))</w:t>
      </w:r>
      <w:r>
        <w:rPr/>
        <w:t xml:space="preserve"> </w:t>
      </w:r>
      <w:r>
        <w:rPr>
          <w:u w:val="single"/>
        </w:rPr>
        <w:t xml:space="preserve">that</w:t>
      </w:r>
      <w:r>
        <w:rPr/>
        <w:t xml:space="preserve"> the incapacitated person receives;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medical status of the incapacitated person;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mental status of the incapacitated person</w:t>
      </w:r>
      <w:r>
        <w:rPr>
          <w:u w:val="single"/>
        </w:rPr>
        <w:t xml:space="preserve">, including reports from mental health professionals on the status of the incapacitated person, if any exist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Changes in the functional abilities of the incapacitated person;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Activities of the guardian for the period;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Any recommended changes in the scope of the authority of the guardian;</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The identity of any professionals who have assisted the incapacitated person during the period;</w:t>
      </w:r>
    </w:p>
    <w:p>
      <w:pPr>
        <w:spacing w:before="0" w:after="0" w:line="408" w:lineRule="exact"/>
        <w:ind w:left="0" w:right="0" w:firstLine="576"/>
        <w:jc w:val="left"/>
      </w:pPr>
      <w:r>
        <w:t>((</w:t>
      </w:r>
      <w:r>
        <w:rPr>
          <w:strike/>
        </w:rPr>
        <w:t xml:space="preserve">(i)(i)</w:t>
      </w:r>
      <w:r>
        <w:t>))</w:t>
      </w:r>
      <w:r>
        <w:rPr/>
        <w:t xml:space="preserve"> </w:t>
      </w:r>
      <w:r>
        <w:rPr>
          <w:u w:val="single"/>
        </w:rPr>
        <w:t xml:space="preserve">(ix)(A)</w:t>
      </w:r>
      <w:r>
        <w:rPr/>
        <w:t xml:space="preserve"> Evidence of the guardian or limited guardian's successful completion of any standardized training video or web cast for guardians or limited guardians made available by the administrative office of the courts and the superior court when the guardian or limited guardian: </w:t>
      </w:r>
      <w:r>
        <w:t>((</w:t>
      </w:r>
      <w:r>
        <w:rPr>
          <w:strike/>
        </w:rPr>
        <w:t xml:space="preserve">(A)</w:t>
      </w:r>
      <w:r>
        <w:t>))</w:t>
      </w:r>
      <w:r>
        <w:rPr/>
        <w:t xml:space="preserve"> </w:t>
      </w:r>
      <w:r>
        <w:rPr>
          <w:u w:val="single"/>
        </w:rPr>
        <w:t xml:space="preserve">(I)</w:t>
      </w:r>
      <w:r>
        <w:rPr/>
        <w:t xml:space="preserve"> Was appointed prior to July 22, 2011; </w:t>
      </w:r>
      <w:r>
        <w:t>((</w:t>
      </w:r>
      <w:r>
        <w:rPr>
          <w:strike/>
        </w:rPr>
        <w:t xml:space="preserve">(B)</w:t>
      </w:r>
      <w:r>
        <w:t>))</w:t>
      </w:r>
      <w:r>
        <w:rPr/>
        <w:t xml:space="preserve"> </w:t>
      </w:r>
      <w:r>
        <w:rPr>
          <w:u w:val="single"/>
        </w:rPr>
        <w:t xml:space="preserve">(II)</w:t>
      </w:r>
      <w:r>
        <w:rPr/>
        <w:t xml:space="preserve"> is not a certified professional guardian or financial institution authorized under RCW 11.88.020; and </w:t>
      </w:r>
      <w:r>
        <w:t>((</w:t>
      </w:r>
      <w:r>
        <w:rPr>
          <w:strike/>
        </w:rPr>
        <w:t xml:space="preserve">(C)</w:t>
      </w:r>
      <w:r>
        <w:t>))</w:t>
      </w:r>
      <w:r>
        <w:rPr/>
        <w:t xml:space="preserve"> </w:t>
      </w:r>
      <w:r>
        <w:rPr>
          <w:u w:val="single"/>
        </w:rPr>
        <w:t xml:space="preserve">(III)</w:t>
      </w:r>
      <w:r>
        <w:rPr/>
        <w:t xml:space="preserve"> has not previously completed the requirements of RCW 11.88.020(3). The training video or web cast must be provided at no cost to the guardian or limited guardian.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superior court may, upon </w:t>
      </w:r>
      <w:r>
        <w:t>((</w:t>
      </w:r>
      <w:r>
        <w:rPr>
          <w:strike/>
        </w:rPr>
        <w:t xml:space="preserve">(A)</w:t>
      </w:r>
      <w:r>
        <w:t>))</w:t>
      </w:r>
      <w:r>
        <w:rPr/>
        <w:t xml:space="preserve"> petition by the guardian or limited guardian</w:t>
      </w:r>
      <w:r>
        <w:t>((</w:t>
      </w:r>
      <w:r>
        <w:rPr>
          <w:strike/>
        </w:rPr>
        <w:t xml:space="preserve">;</w:t>
      </w:r>
      <w:r>
        <w:t>))</w:t>
      </w:r>
      <w:r>
        <w:rPr/>
        <w:t xml:space="preserve"> or </w:t>
      </w:r>
      <w:r>
        <w:t>((</w:t>
      </w:r>
      <w:r>
        <w:rPr>
          <w:strike/>
        </w:rPr>
        <w:t xml:space="preserve">(B)</w:t>
      </w:r>
      <w:r>
        <w:t>))</w:t>
      </w:r>
      <w:r>
        <w:rPr/>
        <w:t xml:space="preserve"> any other method as provided by local court rule:</w:t>
      </w:r>
    </w:p>
    <w:p>
      <w:pPr>
        <w:spacing w:before="0" w:after="0" w:line="408" w:lineRule="exact"/>
        <w:ind w:left="0" w:right="0" w:firstLine="576"/>
        <w:jc w:val="left"/>
      </w:pPr>
      <w:r>
        <w:rPr/>
        <w:t xml:space="preserve">(I) For good cause, waive this requirement for guardians appointed prior to July 22, 2011. Good cause </w:t>
      </w:r>
      <w:r>
        <w:t>((</w:t>
      </w:r>
      <w:r>
        <w:rPr>
          <w:strike/>
        </w:rPr>
        <w:t xml:space="preserve">shall</w:t>
      </w:r>
      <w:r>
        <w:t>))</w:t>
      </w:r>
      <w:r>
        <w:rPr/>
        <w:t xml:space="preserve"> require</w:t>
      </w:r>
      <w:r>
        <w:rPr>
          <w:u w:val="single"/>
        </w:rPr>
        <w:t xml:space="preserve">s</w:t>
      </w:r>
      <w:r>
        <w:rPr/>
        <w:t xml:space="preserve"> evidence that the guardian already possesses the requisite knowledge to serve as a guardian without completing the training. When determining whether there is good cause to waive the training requirement, the court </w:t>
      </w:r>
      <w:r>
        <w:t>((</w:t>
      </w:r>
      <w:r>
        <w:rPr>
          <w:strike/>
        </w:rPr>
        <w:t xml:space="preserve">shall</w:t>
      </w:r>
      <w:r>
        <w:t>))</w:t>
      </w:r>
      <w:r>
        <w:rPr/>
        <w:t xml:space="preserve"> </w:t>
      </w:r>
      <w:r>
        <w:rPr>
          <w:u w:val="single"/>
        </w:rPr>
        <w:t xml:space="preserve">must</w:t>
      </w:r>
      <w:r>
        <w:rPr/>
        <w:t xml:space="preserve"> consider, among other facts, the length of time the guardian has been serving the incapacitated person; whether the guardian has timely filed all required reports with the court; whether the guardian is monitored by other state or local agencies; and whether there have been any allegations of abuse, neglect, or a breach of fiduciary duty against the guardian; or</w:t>
      </w:r>
    </w:p>
    <w:p>
      <w:pPr>
        <w:spacing w:before="0" w:after="0" w:line="408" w:lineRule="exact"/>
        <w:ind w:left="0" w:right="0" w:firstLine="576"/>
        <w:jc w:val="left"/>
      </w:pPr>
      <w:r>
        <w:rPr/>
        <w:t xml:space="preserve">(II) Extend the time period for completion of the training requirement for ninety days;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Evidence of the guardian or limited guardian's successful completion of any additional or updated training video or web cast offered by the administrative office of the courts and the superior court as is required at the discretion of the superior court unless the guardian or limited guardian is a certified professional guardian or financial institution authorized under RCW 11.88.020. The training video or web cast must be provided at no cost to the guardian or limited guardian.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report to the court within thirty days any substantial change in the incapacitated person's condition, or any changes in residence of the incapacitated person.</w:t>
      </w:r>
    </w:p>
    <w:p>
      <w:pPr>
        <w:spacing w:before="0" w:after="0" w:line="408" w:lineRule="exact"/>
        <w:ind w:left="0" w:right="0" w:firstLine="576"/>
        <w:jc w:val="left"/>
      </w:pPr>
      <w:r>
        <w:t>((</w:t>
      </w:r>
      <w:r>
        <w:rPr>
          <w:strike/>
        </w:rPr>
        <w:t xml:space="preserve">(4)</w:t>
      </w:r>
      <w:r>
        <w:t>))</w:t>
      </w:r>
      <w:r>
        <w:rPr/>
        <w:t xml:space="preserve"> </w:t>
      </w:r>
      <w:r>
        <w:rPr>
          <w:u w:val="single"/>
        </w:rPr>
        <w:t xml:space="preserve">(d) To inform any person entitled to special notice of proceedings under RCW 11.92.150 and any other person designated by the incapacitated person as soon as possible, but in no case more than five days, after the incapacitated person:</w:t>
      </w:r>
    </w:p>
    <w:p>
      <w:pPr>
        <w:spacing w:before="0" w:after="0" w:line="408" w:lineRule="exact"/>
        <w:ind w:left="0" w:right="0" w:firstLine="576"/>
        <w:jc w:val="left"/>
      </w:pPr>
      <w:r>
        <w:rPr>
          <w:u w:val="single"/>
        </w:rPr>
        <w:t xml:space="preserve">(i) Makes a change in residence that is intended or likely to last more than fourteen calendar days;</w:t>
      </w:r>
    </w:p>
    <w:p>
      <w:pPr>
        <w:spacing w:before="0" w:after="0" w:line="408" w:lineRule="exact"/>
        <w:ind w:left="0" w:right="0" w:firstLine="576"/>
        <w:jc w:val="left"/>
      </w:pPr>
      <w:r>
        <w:rPr>
          <w:u w:val="single"/>
        </w:rPr>
        <w:t xml:space="preserve">(ii) Has been admitted to a medical facility for acute care in response to a life-threatening injury or medical condition that requires inpatient care;</w:t>
      </w:r>
    </w:p>
    <w:p>
      <w:pPr>
        <w:spacing w:before="0" w:after="0" w:line="408" w:lineRule="exact"/>
        <w:ind w:left="0" w:right="0" w:firstLine="576"/>
        <w:jc w:val="left"/>
      </w:pPr>
      <w:r>
        <w:rPr>
          <w:u w:val="single"/>
        </w:rPr>
        <w:t xml:space="preserve">(iii) Has been treated in an emergency room setting or kept for hospital observation for more than twenty-four hours; or</w:t>
      </w:r>
    </w:p>
    <w:p>
      <w:pPr>
        <w:spacing w:before="0" w:after="0" w:line="408" w:lineRule="exact"/>
        <w:ind w:left="0" w:right="0" w:firstLine="576"/>
        <w:jc w:val="left"/>
      </w:pPr>
      <w:r>
        <w:rPr>
          <w:u w:val="single"/>
        </w:rPr>
        <w:t xml:space="preserve">(iv) Dies, in which case the notification must be made in person, by telephone, or by certified mail.</w:t>
      </w:r>
    </w:p>
    <w:p>
      <w:pPr>
        <w:spacing w:before="0" w:after="0" w:line="408" w:lineRule="exact"/>
        <w:ind w:left="0" w:right="0" w:firstLine="576"/>
        <w:jc w:val="left"/>
      </w:pPr>
      <w:r>
        <w:rPr>
          <w:u w:val="single"/>
        </w:rPr>
        <w:t xml:space="preserve">(e)</w:t>
      </w:r>
      <w:r>
        <w:rPr/>
        <w:t xml:space="preserve"> Consistent with the powers granted by the court, to care for and maintain the incapacitated person in the setting least restrictive to the incapacitated person's freedom and appropriate to the incapacitated person's personal care needs, assert the incapacitated person's rights and best interests, and if the incapacitated person is a minor or where otherwise appropriate, to see that the incapacitated person receives appropriate training and education and that the incapacitated person has the opportunity to learn a trade, occupation, or profession.</w:t>
      </w:r>
    </w:p>
    <w:p>
      <w:pPr>
        <w:spacing w:before="0" w:after="0" w:line="408" w:lineRule="exact"/>
        <w:ind w:left="0" w:right="0" w:firstLine="576"/>
        <w:jc w:val="left"/>
      </w:pPr>
      <w:r>
        <w:t>((</w:t>
      </w:r>
      <w:r>
        <w:rPr>
          <w:strike/>
        </w:rPr>
        <w:t xml:space="preserve">(5)</w:t>
      </w:r>
      <w:r>
        <w:t>))</w:t>
      </w:r>
      <w:r>
        <w:rPr/>
        <w:t xml:space="preserve"> </w:t>
      </w:r>
      <w:r>
        <w:rPr>
          <w:u w:val="single"/>
        </w:rPr>
        <w:t xml:space="preserve">(f)</w:t>
      </w:r>
      <w:r>
        <w:rPr/>
        <w:t xml:space="preserve"> Consistent with RCW 7.70.065, to provide timely, informed consent for health care of the incapacitated person, except in the case of a limited guardian where such power is not expressly provided for in the order of appointment or subsequent modifying order as provided in RCW 11.88.125 as now or hereafter amended, the standby guardian or standby limited guardian may provide timely, informed consent to necessary medical procedures if the guardian or limited guardian cannot be located within four hours after the need for such consent arises. No guardian, limited guardian, or standby guardian may involuntarily commit for mental health treatment, observation, or evaluation an alleged incapacitated person who is unable or unwilling to give informed consent to such commitment unless the procedures for involuntary commitment set forth in chapter 71.05 or 72.23 RCW are followed. Nothing in this section </w:t>
      </w:r>
      <w:r>
        <w:t>((</w:t>
      </w:r>
      <w:r>
        <w:rPr>
          <w:strike/>
        </w:rPr>
        <w:t xml:space="preserve">shall</w:t>
      </w:r>
      <w:r>
        <w:t>))</w:t>
      </w:r>
      <w:r>
        <w:rPr/>
        <w:t xml:space="preserve"> </w:t>
      </w:r>
      <w:r>
        <w:rPr>
          <w:u w:val="single"/>
        </w:rPr>
        <w:t xml:space="preserve">may</w:t>
      </w:r>
      <w:r>
        <w:rPr/>
        <w:t xml:space="preserve"> be construed to allow a guardian, limited guardian, or standby guardian to consent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Therapy or other procedure which induces convulsion;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Surgery solely for the purpose of psychosurgery;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Other psychiatric or mental health procedures that restrict physical freedom of movement, or the rights set forth in RCW 71.05.217.</w:t>
      </w:r>
    </w:p>
    <w:p>
      <w:pPr>
        <w:spacing w:before="0" w:after="0" w:line="408" w:lineRule="exact"/>
        <w:ind w:left="0" w:right="0" w:firstLine="576"/>
        <w:jc w:val="left"/>
      </w:pPr>
      <w:r>
        <w:rPr>
          <w:u w:val="single"/>
        </w:rPr>
        <w:t xml:space="preserve">(2)</w:t>
      </w:r>
      <w:r>
        <w:rPr/>
        <w:t xml:space="preserve"> A guardian, limited guardian, or standby guardian who believes these procedures are necessary for the proper care and maintenance of the incapacitated person shall petition the court for an order unless the court has previously approved the procedure within the past thirty days. The court may order the procedure only after an attorney is appointed in accordance with RCW 11.88.045 if no attorney has previously appeared, notice is given, and a hearing is held in accordance with RCW 11.88.040.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The office of public guardianship, in partnership with the office of the state long-term care ombuds, must develop and offer training targeted to the legal community and persons working in long-term care facilities regarding the different kinds of decision-making authority, including guardianship, authority granted under power of attorney, and surrogate health care decision-making authority. The training must include, at a minimum, information regarding: The roles, duties, and responsibilities of different kinds of decision makers; the scope of authority and limitations on authority with respect to different kinds of decision makers; and any relevant remedial measures provided in law for activity that exceeds the scope of decision-making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Aligns the provisions of 2SSB 5577 with the provisions of 2SHB 1402 (unofficial companion), by:</w:t>
      </w:r>
    </w:p>
    <w:p>
      <w:pPr>
        <w:spacing w:before="0" w:after="0" w:line="408" w:lineRule="exact"/>
        <w:ind w:left="0" w:right="0" w:firstLine="576"/>
        <w:jc w:val="left"/>
      </w:pPr>
      <w:r>
        <w:rPr/>
        <w:t xml:space="preserve">(1) Including language in the opening paragraph setting forth the associational rights of an incapacitated person;</w:t>
      </w:r>
    </w:p>
    <w:p>
      <w:pPr>
        <w:spacing w:before="0" w:after="0" w:line="408" w:lineRule="exact"/>
        <w:ind w:left="0" w:right="0" w:firstLine="576"/>
        <w:jc w:val="left"/>
      </w:pPr>
      <w:r>
        <w:rPr/>
        <w:t xml:space="preserve">(2) Adding a provision to the section regarding immediate need restrictions that allows a guardian or limited guardian to restrict an incapacitated person's associational rights to protect the incapacitated person from activities that unnecessarily impose significant distress in the 14-day period before a Vulnerable Adult Protection Order must be filed;</w:t>
      </w:r>
    </w:p>
    <w:p>
      <w:pPr>
        <w:spacing w:before="0" w:after="0" w:line="408" w:lineRule="exact"/>
        <w:ind w:left="0" w:right="0" w:firstLine="576"/>
        <w:jc w:val="left"/>
      </w:pPr>
      <w:r>
        <w:rPr/>
        <w:t xml:space="preserve">(3) Providing that the immediate need restriction "may" (rather than "must") remain in place until the court has heard and issued an order or decision on the petition;</w:t>
      </w:r>
    </w:p>
    <w:p>
      <w:pPr>
        <w:spacing w:before="0" w:after="0" w:line="408" w:lineRule="exact"/>
        <w:ind w:left="0" w:right="0" w:firstLine="576"/>
        <w:jc w:val="left"/>
      </w:pPr>
      <w:r>
        <w:rPr/>
        <w:t xml:space="preserve">(4) Removing language added to the definition of "improper use of restraint" that referred to isolation;</w:t>
      </w:r>
    </w:p>
    <w:p>
      <w:pPr>
        <w:spacing w:before="0" w:after="0" w:line="408" w:lineRule="exact"/>
        <w:ind w:left="0" w:right="0" w:firstLine="576"/>
        <w:jc w:val="left"/>
      </w:pPr>
      <w:r>
        <w:rPr/>
        <w:t xml:space="preserve">(5) Modifying the definition of "isolate" or "isolation" to remove the intent, purpose, or state of mind requirements;</w:t>
      </w:r>
    </w:p>
    <w:p>
      <w:pPr>
        <w:spacing w:before="0" w:after="0" w:line="408" w:lineRule="exact"/>
        <w:ind w:left="0" w:right="0" w:firstLine="576"/>
        <w:jc w:val="left"/>
      </w:pPr>
      <w:r>
        <w:rPr/>
        <w:t xml:space="preserve">(6) Adding a provision to the definition of "isolate" or "isolation" stating that these terms may not be construed in a manner that prevents a hospital or facility from providing treatment consistent with the standard of care for delivery of health services;</w:t>
      </w:r>
    </w:p>
    <w:p>
      <w:pPr>
        <w:spacing w:before="0" w:after="0" w:line="408" w:lineRule="exact"/>
        <w:ind w:left="0" w:right="0" w:firstLine="576"/>
        <w:jc w:val="left"/>
      </w:pPr>
      <w:r>
        <w:rPr/>
        <w:t xml:space="preserve">(7) Distinguishing emergency and acute care in the section regarding special notice requirements;</w:t>
      </w:r>
    </w:p>
    <w:p>
      <w:pPr>
        <w:spacing w:before="0" w:after="0" w:line="408" w:lineRule="exact"/>
        <w:ind w:left="0" w:right="0" w:firstLine="576"/>
        <w:jc w:val="left"/>
      </w:pPr>
      <w:r>
        <w:rPr/>
        <w:t xml:space="preserve">(8) Removing a null and void clause from the training requirements section; and</w:t>
      </w:r>
    </w:p>
    <w:p>
      <w:pPr>
        <w:spacing w:before="0" w:after="0" w:line="408" w:lineRule="exact"/>
        <w:ind w:left="0" w:right="0" w:firstLine="576"/>
        <w:jc w:val="left"/>
      </w:pPr>
      <w:r>
        <w:rPr/>
        <w:t xml:space="preserve">(9) Adding a new section containing a null and void clause applicable to the entire bill, making it null and void if specific funding is not provided in the operating budget.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ddaa4e250c4aa6" /></Relationships>
</file>