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1a404a256c450e" /></Relationships>
</file>

<file path=word/document.xml><?xml version="1.0" encoding="utf-8"?>
<w:document xmlns:w="http://schemas.openxmlformats.org/wordprocessingml/2006/main">
  <w:body>
    <w:p>
      <w:r>
        <w:rPr>
          <w:b/>
        </w:rPr>
        <w:r>
          <w:rPr/>
          <w:t xml:space="preserve">5393-S.E</w:t>
        </w:r>
      </w:r>
      <w:r>
        <w:rPr>
          <w:b/>
        </w:rPr>
        <w:t xml:space="preserve"> </w:t>
        <w:t xml:space="preserve">AMH</w:t>
      </w:r>
      <w:r>
        <w:rPr>
          <w:b/>
        </w:rPr>
        <w:t xml:space="preserve"> </w:t>
        <w:r>
          <w:rPr/>
          <w:t xml:space="preserve">AGNR</w:t>
        </w:r>
      </w:r>
      <w:r>
        <w:rPr>
          <w:b/>
        </w:rPr>
        <w:t xml:space="preserve"> </w:t>
        <w:r>
          <w:rPr/>
          <w:t xml:space="preserve">H2362.4</w:t>
        </w:r>
      </w:r>
      <w:r>
        <w:rPr>
          <w:b/>
        </w:rPr>
        <w:t xml:space="preserve"> - NOT FOR FLOOR USE</w:t>
      </w:r>
    </w:p>
    <w:p>
      <w:pPr>
        <w:ind w:left="0" w:right="0" w:firstLine="576"/>
      </w:pPr>
    </w:p>
    <w:p>
      <w:pPr>
        <w:spacing w:before="480" w:after="0" w:line="408" w:lineRule="exact"/>
      </w:pPr>
      <w:r>
        <w:rPr>
          <w:b/>
          <w:u w:val="single"/>
        </w:rPr>
        <w:t xml:space="preserve">ESSB 5393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Agriculture &amp; Natural Resources</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2014 c 120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w:t>
      </w:r>
      <w:r>
        <w:rPr>
          <w:u w:val="single"/>
        </w:rPr>
        <w:t xml:space="preserve">:</w:t>
      </w:r>
    </w:p>
    <w:p>
      <w:pPr>
        <w:spacing w:before="0" w:after="0" w:line="408" w:lineRule="exact"/>
        <w:ind w:left="0" w:right="0" w:firstLine="576"/>
        <w:jc w:val="left"/>
      </w:pPr>
      <w:r>
        <w:rPr>
          <w:u w:val="single"/>
        </w:rPr>
        <w:t xml:space="preserve">(A) C</w:t>
      </w:r>
      <w:r>
        <w:rPr/>
        <w:t xml:space="preserve">ulvert repair and replacement</w:t>
      </w:r>
      <w:r>
        <w:rPr>
          <w:u w:val="single"/>
        </w:rPr>
        <w:t xml:space="preserve">; and</w:t>
      </w:r>
    </w:p>
    <w:p>
      <w:pPr>
        <w:spacing w:before="0" w:after="0" w:line="408" w:lineRule="exact"/>
        <w:ind w:left="0" w:right="0" w:firstLine="576"/>
        <w:jc w:val="left"/>
      </w:pPr>
      <w:r>
        <w:rPr>
          <w:u w:val="single"/>
        </w:rPr>
        <w:t xml:space="preserve">(B) Fish passage barrier removal projects that comply with the forest practices rules, as the term "forest practices rules" is defined in RCW 76.09.020</w:t>
      </w:r>
      <w:r>
        <w:rPr/>
        <w:t xml:space="preserve">;</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or</w:t>
      </w:r>
    </w:p>
    <w:p>
      <w:pPr>
        <w:spacing w:before="0" w:after="0" w:line="408" w:lineRule="exact"/>
        <w:ind w:left="0" w:right="0" w:firstLine="576"/>
        <w:jc w:val="left"/>
      </w:pPr>
      <w:r>
        <w:rPr/>
        <w:t xml:space="preserve">(iii) Placement of woody debris or other instream structures that benefit naturally reproducing fish stocks.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United States fish and wildlife service and the natural resource conservation service;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 </w:t>
      </w:r>
      <w:r>
        <w:t>((</w:t>
      </w:r>
      <w:r>
        <w:rPr>
          <w:strike/>
        </w:rPr>
        <w:t xml:space="preserve">and</w:t>
      </w:r>
      <w:r>
        <w:t>))</w:t>
      </w:r>
    </w:p>
    <w:p>
      <w:pPr>
        <w:spacing w:before="0" w:after="0" w:line="408" w:lineRule="exact"/>
        <w:ind w:left="0" w:right="0" w:firstLine="576"/>
        <w:jc w:val="left"/>
      </w:pPr>
      <w:r>
        <w:rPr/>
        <w:t xml:space="preserve">(x) </w:t>
      </w:r>
      <w:r>
        <w:rPr>
          <w:u w:val="single"/>
        </w:rPr>
        <w:t xml:space="preserve">Through the approval process established for forest practices hydraulic projects in chapter 76.09 RCW; or</w:t>
      </w:r>
    </w:p>
    <w:p>
      <w:pPr>
        <w:spacing w:before="0" w:after="0" w:line="408" w:lineRule="exact"/>
        <w:ind w:left="0" w:right="0" w:firstLine="576"/>
        <w:jc w:val="left"/>
      </w:pPr>
      <w:r>
        <w:rPr>
          <w:u w:val="single"/>
        </w:rPr>
        <w:t xml:space="preserve">(xi)</w:t>
      </w:r>
      <w:r>
        <w:rPr/>
        <w:t xml:space="preserve">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of regulatory assistance to apply for approval under this chapter. On the same day, the applicant shall provide copies of the completed application form to the department and to each appropriate local government.</w:t>
      </w:r>
    </w:p>
    <w:p>
      <w:pPr>
        <w:spacing w:before="0" w:after="0" w:line="408" w:lineRule="exact"/>
        <w:ind w:left="0" w:right="0" w:firstLine="576"/>
        <w:jc w:val="left"/>
      </w:pPr>
      <w:r>
        <w:rPr>
          <w:u w:val="single"/>
        </w:rPr>
        <w:t xml:space="preserve">For applicants for a forest practices hydraulic project that are not otherwise required to submit a joint aquatic resource permit application, the department of natural resources must forward a copy of the submitted forest practices application to the appropriate local government consistent with RCW 76.09.490.</w:t>
      </w:r>
    </w:p>
    <w:p>
      <w:pPr>
        <w:spacing w:before="0" w:after="0" w:line="408" w:lineRule="exact"/>
        <w:ind w:left="0" w:right="0" w:firstLine="576"/>
        <w:jc w:val="left"/>
      </w:pPr>
      <w:r>
        <w:rPr/>
        <w:t xml:space="preserve">(b) Local governments shall accept the application </w:t>
      </w:r>
      <w:r>
        <w:rPr>
          <w:u w:val="single"/>
        </w:rPr>
        <w:t xml:space="preserve">identified in this section</w:t>
      </w:r>
      <w:r>
        <w:rPr/>
        <w:t xml:space="preserve"> as notice of the proposed project. </w:t>
      </w:r>
      <w:r>
        <w:t>((</w:t>
      </w:r>
      <w:r>
        <w:rPr>
          <w:strike/>
        </w:rPr>
        <w:t xml:space="preserve">The department</w:t>
      </w:r>
      <w:r>
        <w:t>))</w:t>
      </w:r>
      <w:r>
        <w:rPr/>
        <w:t xml:space="preserve"> </w:t>
      </w:r>
      <w:r>
        <w:rPr>
          <w:u w:val="single"/>
        </w:rPr>
        <w:t xml:space="preserve">A local government</w:t>
      </w:r>
      <w:r>
        <w:rPr/>
        <w:t xml:space="preserve"> shall </w:t>
      </w:r>
      <w:r>
        <w:t>((</w:t>
      </w:r>
      <w:r>
        <w:rPr>
          <w:strike/>
        </w:rPr>
        <w:t xml:space="preserve">provide</w:t>
      </w:r>
      <w:r>
        <w:t>))</w:t>
      </w:r>
      <w:r>
        <w:rPr/>
        <w:t xml:space="preserve"> </w:t>
      </w:r>
      <w:r>
        <w:rPr>
          <w:u w:val="single"/>
        </w:rPr>
        <w:t xml:space="preserve">be provided with</w:t>
      </w:r>
      <w:r>
        <w:rPr/>
        <w:t xml:space="preserve"> a fifteen-day comment period during which it </w:t>
      </w:r>
      <w:r>
        <w:t>((</w:t>
      </w:r>
      <w:r>
        <w:rPr>
          <w:strike/>
        </w:rPr>
        <w:t xml:space="preserve">will receive</w:t>
      </w:r>
      <w:r>
        <w:t>))</w:t>
      </w:r>
      <w:r>
        <w:rPr/>
        <w:t xml:space="preserve"> </w:t>
      </w:r>
      <w:r>
        <w:rPr>
          <w:u w:val="single"/>
        </w:rPr>
        <w:t xml:space="preserve">may transmit</w:t>
      </w:r>
      <w:r>
        <w:rPr/>
        <w:t xml:space="preserve"> comments regarding environmental impacts </w:t>
      </w:r>
      <w:r>
        <w:rPr>
          <w:u w:val="single"/>
        </w:rPr>
        <w:t xml:space="preserve">to the department or, for forest practices hydraulic projects, to the department of natural resources</w:t>
      </w:r>
      <w:r>
        <w:rPr/>
        <w:t xml:space="preserve">.</w:t>
      </w:r>
    </w:p>
    <w:p>
      <w:pPr>
        <w:spacing w:before="0" w:after="0" w:line="408" w:lineRule="exact"/>
        <w:ind w:left="0" w:right="0" w:firstLine="576"/>
        <w:jc w:val="left"/>
      </w:pPr>
      <w:r>
        <w:rPr/>
        <w:t xml:space="preserve">(c) </w:t>
      </w:r>
      <w:r>
        <w:t>((</w:t>
      </w:r>
      <w:r>
        <w:rPr>
          <w:strike/>
        </w:rPr>
        <w:t xml:space="preserve">Within forty-five days</w:t>
      </w:r>
      <w:r>
        <w:t>))</w:t>
      </w:r>
      <w:r>
        <w:rPr/>
        <w:t xml:space="preserve"> </w:t>
      </w:r>
      <w:r>
        <w:rPr>
          <w:u w:val="single"/>
        </w:rPr>
        <w:t xml:space="preserve">Except for forest practices hydraulic projects</w:t>
      </w:r>
      <w:r>
        <w:rPr/>
        <w:t xml:space="preserve">, the department shall either issue a permit, with or without conditions, deny approval, or make a determination that the review and approval process created by this section is not appropriate for the proposed project </w:t>
      </w:r>
      <w:r>
        <w:rPr>
          <w:u w:val="single"/>
        </w:rPr>
        <w:t xml:space="preserve">within forty-five days</w:t>
      </w:r>
      <w:r>
        <w:rPr/>
        <w:t xml:space="preserve">. The department shall base this determination on identification during the comment period of adverse impacts that cannot be mitigated by the conditioning of a permit. </w:t>
      </w:r>
      <w:r>
        <w:rPr>
          <w:u w:val="single"/>
        </w:rPr>
        <w:t xml:space="preserve">Permitting decisions over forest practices hydraulic approvals must be made consistent with chapter 76.09 RCW.</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w:t>
      </w:r>
      <w:r>
        <w:rPr>
          <w:u w:val="single"/>
        </w:rPr>
        <w:t xml:space="preserve">other than a forest practices hydraulic project</w:t>
      </w:r>
      <w:r>
        <w:rPr/>
        <w:t xml:space="preserve"> under this section may appeal the decision as provided in RCW 77.55.021(8). </w:t>
      </w:r>
      <w:r>
        <w:rPr>
          <w:u w:val="single"/>
        </w:rPr>
        <w:t xml:space="preserve">Appeals of a forest practices hydraulic project may be made as provided in chapter 76.09 RCW.</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w:t>
      </w:r>
      <w:r>
        <w:rPr>
          <w:u w:val="single"/>
        </w:rPr>
        <w:t xml:space="preserve">or the department of natural resources</w:t>
      </w:r>
      <w:r>
        <w:rPr/>
        <w:t xml:space="preserve"> under the criteria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490</w:t>
      </w:r>
      <w:r>
        <w:rPr/>
        <w:t xml:space="preserve"> and 2012 1st sp.s. c 1 s 202 are each amended to read as follows:</w:t>
      </w:r>
    </w:p>
    <w:p>
      <w:pPr>
        <w:spacing w:before="0" w:after="0" w:line="408" w:lineRule="exact"/>
        <w:ind w:left="0" w:right="0" w:firstLine="576"/>
        <w:jc w:val="left"/>
      </w:pPr>
      <w:r>
        <w:rPr/>
        <w:t xml:space="preserve">(1) The department may request information and technical assistance from the department of fish and wildlife regarding any forest practices hydraulic project regulated under this chapter.</w:t>
      </w:r>
    </w:p>
    <w:p>
      <w:pPr>
        <w:spacing w:before="0" w:after="0" w:line="408" w:lineRule="exact"/>
        <w:ind w:left="0" w:right="0" w:firstLine="576"/>
        <w:jc w:val="left"/>
      </w:pPr>
      <w:r>
        <w:rPr/>
        <w:t xml:space="preserve">(2) A concurrence review process is established for certain forest practices hydraulic projects, as follow[s]:</w:t>
      </w:r>
    </w:p>
    <w:p>
      <w:pPr>
        <w:spacing w:before="0" w:after="0" w:line="408" w:lineRule="exact"/>
        <w:ind w:left="0" w:right="0" w:firstLine="576"/>
        <w:jc w:val="left"/>
      </w:pPr>
      <w:r>
        <w:rPr/>
        <w:t xml:space="preserve">(a) After receiving an application under RCW 76.09.050 that includes a forest practices hydraulic project involving one or more water crossing structures meeting the criteria of (b) of this subsection, the department shall provide all necessary information provided by the applicant to the department of fish and wildlife for concurrence review consistent with RCW 77.55.361(3). The required information must be transmitted by the department to the department of fish and wildlife as soon as practicable following the receipt of a complete application.</w:t>
      </w:r>
    </w:p>
    <w:p>
      <w:pPr>
        <w:spacing w:before="0" w:after="0" w:line="408" w:lineRule="exact"/>
        <w:ind w:left="0" w:right="0" w:firstLine="576"/>
        <w:jc w:val="left"/>
      </w:pPr>
      <w:r>
        <w:rPr/>
        <w:t xml:space="preserve">(b) The concurrence review process applies only to:</w:t>
      </w:r>
    </w:p>
    <w:p>
      <w:pPr>
        <w:spacing w:before="0" w:after="0" w:line="408" w:lineRule="exact"/>
        <w:ind w:left="0" w:right="0" w:firstLine="576"/>
        <w:jc w:val="left"/>
      </w:pPr>
      <w:r>
        <w:rPr/>
        <w:t xml:space="preserve">(i) Culvert installation or replacement, and repair at or below the bankfull width, as that term is defined in WAC 222</w:t>
      </w:r>
      <w:r>
        <w:rPr/>
        <w:noBreakHyphen/>
      </w:r>
      <w:r>
        <w:rPr/>
        <w:t xml:space="preserve">16</w:t>
      </w:r>
      <w:r>
        <w:rPr/>
        <w:noBreakHyphen/>
      </w:r>
      <w:r>
        <w:rPr/>
        <w:t xml:space="preserve">010 on July 10, 2012, in fish bearing rivers and streams that exceed five percent gradient;</w:t>
      </w:r>
    </w:p>
    <w:p>
      <w:pPr>
        <w:spacing w:before="0" w:after="0" w:line="408" w:lineRule="exact"/>
        <w:ind w:left="0" w:right="0" w:firstLine="576"/>
        <w:jc w:val="left"/>
      </w:pPr>
      <w:r>
        <w:rPr/>
        <w:t xml:space="preserve">(ii) Bridge construction or replacement, and repair at or below the bankfull width, of fish bearing unconfined streams; or</w:t>
      </w:r>
    </w:p>
    <w:p>
      <w:pPr>
        <w:spacing w:before="0" w:after="0" w:line="408" w:lineRule="exact"/>
        <w:ind w:left="0" w:right="0" w:firstLine="576"/>
        <w:jc w:val="left"/>
      </w:pPr>
      <w:r>
        <w:rPr/>
        <w:t xml:space="preserve">(iii) Fill within the flood level - 100 year, as that term is defined in WAC 222-16-010, as it existed on July 10, 2012, of fish bearing unconfined streams.</w:t>
      </w:r>
    </w:p>
    <w:p>
      <w:pPr>
        <w:spacing w:before="0" w:after="0" w:line="408" w:lineRule="exact"/>
        <w:ind w:left="0" w:right="0" w:firstLine="576"/>
        <w:jc w:val="left"/>
      </w:pPr>
      <w:r>
        <w:rPr>
          <w:u w:val="single"/>
        </w:rPr>
        <w:t xml:space="preserve">(3) After receiving an application under RCW 76.09.050 that includes a forest practices hydraulic project involving one or more fish passage barrier removals, the department must provide a copy of that application to the appropriate local government for the purposes of providing notification under RCW 77.55.181. The copy of the application must be forwarded within forty-eight hours in the manner deemed most efficient by the department. This may include notification through web-based or other electronic notification systems.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Rather than prepare a joint aquatic resource permit application to submit to local government, applicants for forest practices hydraulic projects that remove fish passage barriers must submit a copy of their forest practices application (FPA) to the department of natural resources (DNR). The DNR must forward a copy of the FPA to the appropriate local government within 48 hours of receipt of the application.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cc664fd78445cc" /></Relationships>
</file>