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277bde7c494682" /></Relationships>
</file>

<file path=word/document.xml><?xml version="1.0" encoding="utf-8"?>
<w:document xmlns:w="http://schemas.openxmlformats.org/wordprocessingml/2006/main">
  <w:body>
    <w:p>
      <w:r>
        <w:rPr>
          <w:b/>
        </w:rPr>
        <w:r>
          <w:rPr/>
          <w:t xml:space="preserve">5239-S2.E2</w:t>
        </w:r>
      </w:r>
      <w:r>
        <w:rPr>
          <w:b/>
        </w:rPr>
        <w:t xml:space="preserve"> </w:t>
        <w:t xml:space="preserve">AMH</w:t>
      </w:r>
      <w:r>
        <w:rPr>
          <w:b/>
        </w:rPr>
        <w:t xml:space="preserve"> </w:t>
        <w:r>
          <w:rPr/>
          <w:t xml:space="preserve">STAN</w:t>
        </w:r>
      </w:r>
      <w:r>
        <w:rPr>
          <w:b/>
        </w:rPr>
        <w:t xml:space="preserve"> </w:t>
        <w:r>
          <w:rPr/>
          <w:t xml:space="preserve">H2950.2</w:t>
        </w:r>
      </w:r>
      <w:r>
        <w:rPr>
          <w:b/>
        </w:rPr>
        <w:t xml:space="preserve"> - NOT FOR FLOOR USE</w:t>
      </w:r>
    </w:p>
    <w:p>
      <w:pPr>
        <w:ind w:left="0" w:right="0" w:firstLine="576"/>
      </w:pPr>
    </w:p>
    <w:p>
      <w:pPr>
        <w:spacing w:before="480" w:after="0" w:line="408" w:lineRule="exact"/>
      </w:pPr>
      <w:r>
        <w:rPr>
          <w:b/>
          <w:u w:val="single"/>
        </w:rPr>
        <w:t xml:space="preserve">2E2SSB 5239</w:t>
      </w:r>
      <w:r>
        <w:t xml:space="preserve"> -</w:t>
      </w:r>
      <w:r>
        <w:t xml:space="preserve"> </w:t>
        <w:t xml:space="preserve">H AMD</w:t>
      </w:r>
      <w:r>
        <w:t xml:space="preserve"> </w:t>
      </w:r>
      <w:r>
        <w:rPr>
          <w:b/>
        </w:rPr>
        <w:t xml:space="preserve">641</w:t>
      </w:r>
    </w:p>
    <w:p>
      <w:pPr>
        <w:spacing w:before="0" w:after="0" w:line="408" w:lineRule="exact"/>
        <w:ind w:left="0" w:right="0" w:firstLine="576"/>
        <w:jc w:val="left"/>
      </w:pPr>
      <w:r>
        <w:rPr/>
        <w:t xml:space="preserve">By Representative Stanford</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w:t>
      </w:r>
      <w:r>
        <w:rPr>
          <w:u w:val="single"/>
        </w:rPr>
        <w:t xml:space="preserve">In areas where rules have been adopted under chapter 90.54 or 90.22 RCW that explicitly regulate permit-exempt groundwater withdrawals, evidence of an adequate potable water supply must, at a minimum, meet the specific requirements of the applicable rule. In other areas of the state, until December 31, 2018, evidence may consist of a water well report consistent with the requirements of chapter 18.104 RCW, except that additional requirements shall apply to demonstrate the physical and legal existence of an adequate water supply if the building permit application applies to a building located within:</w:t>
      </w:r>
    </w:p>
    <w:p>
      <w:pPr>
        <w:spacing w:before="0" w:after="0" w:line="408" w:lineRule="exact"/>
        <w:ind w:left="0" w:right="0" w:firstLine="576"/>
        <w:jc w:val="left"/>
      </w:pPr>
      <w:r>
        <w:rPr>
          <w:u w:val="single"/>
        </w:rPr>
        <w:t xml:space="preserve">(a) An area where water rights have been adjudicated in accordance with chapter 90.03 RCW and that is subject to federal flow regulation, including the entire Yakima river basin, water resource inventory areas 37, 38, and 39;</w:t>
      </w:r>
    </w:p>
    <w:p>
      <w:pPr>
        <w:spacing w:before="0" w:after="0" w:line="408" w:lineRule="exact"/>
        <w:ind w:left="0" w:right="0" w:firstLine="576"/>
        <w:jc w:val="left"/>
      </w:pPr>
      <w:r>
        <w:rPr>
          <w:u w:val="single"/>
        </w:rPr>
        <w:t xml:space="preserve">(b) An area where water rights have been adjudicated in a federal court action and that is subject to federal flow regulation; or</w:t>
      </w:r>
    </w:p>
    <w:p>
      <w:pPr>
        <w:spacing w:before="0" w:after="0" w:line="408" w:lineRule="exact"/>
        <w:ind w:left="0" w:right="0" w:firstLine="576"/>
        <w:jc w:val="left"/>
      </w:pPr>
      <w:r>
        <w:rPr>
          <w:u w:val="single"/>
        </w:rPr>
        <w:t xml:space="preserve">(c) Water resource inventory areas 3 or 4, which were subject to the Washington supreme court's October 3, 2013, decision in </w:t>
      </w:r>
      <w:r>
        <w:rPr>
          <w:i/>
          <w:u w:val="single"/>
        </w:rPr>
        <w:t xml:space="preserve">Swinomish Indian Tribal Community v. Washington State Department of Ecology</w:t>
      </w:r>
      <w:r>
        <w:rPr>
          <w:u w:val="single"/>
        </w:rPr>
        <w:t xml:space="preserve">, 178 Wn.2d 571, 311 P.3d 6 (2013).</w:t>
      </w:r>
    </w:p>
    <w:p>
      <w:pPr>
        <w:spacing w:before="0" w:after="0" w:line="408" w:lineRule="exact"/>
        <w:ind w:left="0" w:right="0" w:firstLine="576"/>
        <w:jc w:val="left"/>
      </w:pPr>
      <w:r>
        <w:rPr>
          <w:u w:val="single"/>
        </w:rPr>
        <w:t xml:space="preserve">(2)</w:t>
      </w:r>
      <w:r>
        <w:rPr/>
        <w:t xml:space="preserve">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0" w:after="0" w:line="408" w:lineRule="exact"/>
        <w:ind w:left="0" w:right="0" w:firstLine="576"/>
        <w:jc w:val="left"/>
      </w:pPr>
      <w:r>
        <w:rPr>
          <w:u w:val="single"/>
        </w:rPr>
        <w:t xml:space="preserve">(5) In order for a building permit applicant to be eligible to rely on a water well report for a groundwater withdrawal exempt from permitting under RCW 90.44.050 and not prohibited by an applicable water resources management rule adopted by the department of ecology as evidence of adequate water supply, the applicant must submit a valid and fully complete building permit application, as defined in RCW 19.27.095, to the appropriate permitting authority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and until December 31, 2018, a county or city whose comprehensive plan revision deadline is governed by either RCW 36.70A.130(5) (c) or (d) must, at a minimum, be consistent with state adopted rules, unless such a county or city has already adopted its revised comprehensive plan as of the effective date of this section.</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in a county or a city whose comprehensive plan revision deadline is governed by either RCW 36.70A.130(5) (c) or (d), and until December 31, 2018, must, at a minimum, be consistent with state adopted rules, unless such a county or city has already adopted its revised comprehensive plan as of the effective date of this section</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c 331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and until December 31, 2018, a county or city whose comprehensive plan revision deadline is governed by either RCW 36.70A.130(5) (c) or (d) must, at a minimum, be consistent with state adopted rules, unless such a county or city has already adopted its revised comprehensive plan as of the effective date of this section.</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in a county or a city whose comprehensive plan revision deadline is governed by either RCW 36.70A.130(5) (c) or (d), and until December 31, 2018, must, at a minimum, be consistent with state adopted rules, unless such a county or city has already adopted its revised comprehensive plan as of the effective date of this section</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may include the provisions in section 3 of this act.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water supply is established to review the treatment of groundwater withdrawals that are exempt from permitting requirements under RCW 90.44.050 and to review the implementation of RCW 19.27.097 and 36.70A.070. The task force must consist of the following members:</w:t>
      </w:r>
    </w:p>
    <w:p>
      <w:pPr>
        <w:spacing w:before="0" w:after="0" w:line="408" w:lineRule="exact"/>
        <w:ind w:left="0" w:right="0" w:firstLine="576"/>
        <w:jc w:val="left"/>
      </w:pPr>
      <w:r>
        <w:rPr/>
        <w:t xml:space="preserve">(a) Appointed by the president of the senate, two members from each of the two largest caucuses of the senate;</w:t>
      </w:r>
    </w:p>
    <w:p>
      <w:pPr>
        <w:spacing w:before="0" w:after="0" w:line="408" w:lineRule="exact"/>
        <w:ind w:left="0" w:right="0" w:firstLine="576"/>
        <w:jc w:val="left"/>
      </w:pPr>
      <w:r>
        <w:rPr/>
        <w:t xml:space="preserve">(b) Appointed by the speaker of the house of representatives, two members from each of the two largest caucuses of the house of representatives;</w:t>
      </w:r>
    </w:p>
    <w:p>
      <w:pPr>
        <w:spacing w:before="0" w:after="0" w:line="408" w:lineRule="exact"/>
        <w:ind w:left="0" w:right="0" w:firstLine="576"/>
        <w:jc w:val="left"/>
      </w:pPr>
      <w:r>
        <w:rPr/>
        <w:t xml:space="preserve">(c) A representative from the department of ecology, chosen by the director of the department of ecology;</w:t>
      </w:r>
    </w:p>
    <w:p>
      <w:pPr>
        <w:spacing w:before="0" w:after="0" w:line="408" w:lineRule="exact"/>
        <w:ind w:left="0" w:right="0" w:firstLine="576"/>
        <w:jc w:val="left"/>
      </w:pPr>
      <w:r>
        <w:rPr/>
        <w:t xml:space="preserve">(d) A representative from the department of fish and wildlife, chosen by the director of the department of fish and wildlife;</w:t>
      </w:r>
    </w:p>
    <w:p>
      <w:pPr>
        <w:spacing w:before="0" w:after="0" w:line="408" w:lineRule="exact"/>
        <w:ind w:left="0" w:right="0" w:firstLine="576"/>
        <w:jc w:val="left"/>
      </w:pPr>
      <w:r>
        <w:rPr/>
        <w:t xml:space="preserve">(e) A representative from the department of agriculture, chosen by the director of the department of agriculture;</w:t>
      </w:r>
    </w:p>
    <w:p>
      <w:pPr>
        <w:spacing w:before="0" w:after="0" w:line="408" w:lineRule="exact"/>
        <w:ind w:left="0" w:right="0" w:firstLine="576"/>
        <w:jc w:val="left"/>
      </w:pPr>
      <w:r>
        <w:rPr/>
        <w:t xml:space="preserve">(f) One individual for each of the following groups, appointed by the consensus of the cochairs of the committee:</w:t>
      </w:r>
    </w:p>
    <w:p>
      <w:pPr>
        <w:spacing w:before="0" w:after="0" w:line="408" w:lineRule="exact"/>
        <w:ind w:left="0" w:right="0" w:firstLine="576"/>
        <w:jc w:val="left"/>
      </w:pPr>
      <w:r>
        <w:rPr/>
        <w:t xml:space="preserve">(i) An environmental advocacy organization;</w:t>
      </w:r>
    </w:p>
    <w:p>
      <w:pPr>
        <w:spacing w:before="0" w:after="0" w:line="408" w:lineRule="exact"/>
        <w:ind w:left="0" w:right="0" w:firstLine="576"/>
        <w:jc w:val="left"/>
      </w:pPr>
      <w:r>
        <w:rPr/>
        <w:t xml:space="preserve">(ii) An organization representing Washington counties;</w:t>
      </w:r>
    </w:p>
    <w:p>
      <w:pPr>
        <w:spacing w:before="0" w:after="0" w:line="408" w:lineRule="exact"/>
        <w:ind w:left="0" w:right="0" w:firstLine="576"/>
        <w:jc w:val="left"/>
      </w:pPr>
      <w:r>
        <w:rPr/>
        <w:t xml:space="preserve">(iii) An organization representing Washington cities; and</w:t>
      </w:r>
    </w:p>
    <w:p>
      <w:pPr>
        <w:spacing w:before="0" w:after="0" w:line="408" w:lineRule="exact"/>
        <w:ind w:left="0" w:right="0" w:firstLine="576"/>
        <w:jc w:val="left"/>
      </w:pPr>
      <w:r>
        <w:rPr/>
        <w:t xml:space="preserve">(iv) An organization representing the development community; and</w:t>
      </w:r>
    </w:p>
    <w:p>
      <w:pPr>
        <w:spacing w:before="0" w:after="0" w:line="408" w:lineRule="exact"/>
        <w:ind w:left="0" w:right="0" w:firstLine="576"/>
        <w:jc w:val="left"/>
      </w:pPr>
      <w:r>
        <w:rPr/>
        <w:t xml:space="preserve">(g) Representatives of three federally recognized Indian tribes, two invited by the cochairs to participate at the recommendation of the northwest Indian fisheries commission, and one invited to participate at the recommendation of the Columbia river intertribal fish commission.</w:t>
      </w:r>
    </w:p>
    <w:p>
      <w:pPr>
        <w:spacing w:before="0" w:after="0" w:line="408" w:lineRule="exact"/>
        <w:ind w:left="0" w:right="0" w:firstLine="576"/>
        <w:jc w:val="left"/>
      </w:pPr>
      <w:r>
        <w:rPr/>
        <w:t xml:space="preserve">(2) The first meeting of the task force must occur by September 30, 2017. One cochair of the task force must be a member of the largest caucus of the house of representatives, and one cochair must be a member of the largest caucus of the senate, as those caucuses existed as of the effective date of this section.</w:t>
      </w:r>
    </w:p>
    <w:p>
      <w:pPr>
        <w:spacing w:before="0" w:after="0" w:line="408" w:lineRule="exact"/>
        <w:ind w:left="0" w:right="0" w:firstLine="576"/>
        <w:jc w:val="left"/>
      </w:pPr>
      <w:r>
        <w:rPr/>
        <w:t xml:space="preserve">(3) Staff support for the task force must be provided by the office of program research and senate committee services. The department of ecology and the department of fish and wildlife shall cooperate with the task force and provide information as the cochairs reasonably request.</w:t>
      </w:r>
    </w:p>
    <w:p>
      <w:pPr>
        <w:spacing w:before="0" w:after="0" w:line="408" w:lineRule="exact"/>
        <w:ind w:left="0" w:right="0" w:firstLine="576"/>
        <w:jc w:val="left"/>
      </w:pPr>
      <w:r>
        <w:rPr/>
        <w:t xml:space="preserve">(4) Within existing appropriations, the expenses of the operations of the task force, including the expenses associated with the task force's meetings, must be paid jointly and in equal amounts by the senate and house of representatives. Task force expenditures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(5)(a) By December 1, 2018, the joint legislative task force must make recommendations to the legislature.</w:t>
      </w:r>
    </w:p>
    <w:p>
      <w:pPr>
        <w:spacing w:before="0" w:after="0" w:line="408" w:lineRule="exact"/>
        <w:ind w:left="0" w:right="0" w:firstLine="576"/>
        <w:jc w:val="left"/>
      </w:pPr>
      <w:r>
        <w:rPr/>
        <w:t xml:space="preserve">(b) Recommendations of the joint legislative task force must be made by a two-thirds majority of the members of the committee. The representatives of the departments of fish and wildlife and agriculture are not entitled to vote on the recommendations. Minority recommendations that achieve the support of at least five of the named voting members of the committee may also be submitted to the legislature.</w:t>
      </w:r>
    </w:p>
    <w:p>
      <w:pPr>
        <w:spacing w:before="0" w:after="0" w:line="408" w:lineRule="exact"/>
        <w:ind w:left="0" w:right="0" w:firstLine="576"/>
        <w:jc w:val="left"/>
      </w:pPr>
      <w:r>
        <w:rPr/>
        <w:t xml:space="preserve">(6) The joint legislative task force expires June 30, 2019.</w:t>
      </w:r>
    </w:p>
    <w:p>
      <w:pPr>
        <w:spacing w:before="0" w:after="0" w:line="408" w:lineRule="exact"/>
        <w:ind w:left="0" w:right="0" w:firstLine="576"/>
        <w:jc w:val="left"/>
      </w:pPr>
      <w:r>
        <w:rPr/>
        <w:t xml:space="preserve">(7)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3 of this act expire January 1, 2019.</w:t>
      </w:r>
    </w:p>
    <w:p>
      <w:pPr>
        <w:spacing w:before="0" w:after="0" w:line="408" w:lineRule="exact"/>
        <w:ind w:left="0" w:right="0" w:firstLine="576"/>
        <w:jc w:val="left"/>
      </w:pPr>
      <w:r>
        <w:rPr/>
        <w:t xml:space="preserve">(2) Section 2 of this act expires July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3 of this act, which takes effect July 23, 2017.</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Allows an applicant for a building permit requiring potable water to present a water well report for a permit-exempt groundwater withdrawal that is not prohibited by an instream flow rule, as evidence of an adequate water supply for the building, until December 31, 2018, and except in certain areas.</w:t>
      </w:r>
    </w:p>
    <w:p>
      <w:pPr>
        <w:spacing w:before="0" w:after="0" w:line="408" w:lineRule="exact"/>
        <w:ind w:left="0" w:right="0" w:firstLine="576"/>
        <w:jc w:val="left"/>
      </w:pPr>
      <w:r>
        <w:rPr/>
        <w:t xml:space="preserve">Authorizes a county or city to rely on or refer to applicable water resource management rules adopted by the department of ecology (ecology) in complying with the growth management act's (GMA) mandate to provide for protection of the quality and quantity of groundwater used for public water supplies, until December 31, 2018, and except in certain areas.</w:t>
      </w:r>
    </w:p>
    <w:p>
      <w:pPr>
        <w:spacing w:before="0" w:after="0" w:line="408" w:lineRule="exact"/>
        <w:ind w:left="0" w:right="0" w:firstLine="576"/>
        <w:jc w:val="left"/>
      </w:pPr>
      <w:r>
        <w:rPr/>
        <w:t xml:space="preserve">Requires the rural element of a comprehensive plan adopted pursuant to the GMA to include measures to protect critical areas, and surface water and groundwater resources, which may include measures that rely on or refer to applicable water resource management rules adopted by ecology, until December 31, 2018, and except in certain areas.</w:t>
      </w:r>
    </w:p>
    <w:p>
      <w:pPr>
        <w:spacing w:before="0" w:after="0" w:line="408" w:lineRule="exact"/>
        <w:ind w:left="0" w:right="0" w:firstLine="576"/>
        <w:jc w:val="left"/>
      </w:pPr>
      <w:r>
        <w:rPr/>
        <w:t xml:space="preserve">Creates a joint legislative task force to review the treatment of permit-exempt groundwater withdrawals and certain other water-related topics.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b8fa83e1aa45d5" /></Relationships>
</file>