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abc1d30e14b2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5096.E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SHMK</w:t>
        </w:r>
      </w:r>
      <w:r>
        <w:rPr>
          <w:b/>
        </w:rPr>
        <w:t xml:space="preserve"> </w:t>
        <w:r>
          <w:rPr/>
          <w:t xml:space="preserve">H2667.2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ESB 5096</w:t>
      </w:r>
      <w:r>
        <w:t xml:space="preserve"> -</w:t>
      </w:r>
      <w:r>
        <w:t xml:space="preserve"> </w:t>
        <w:t xml:space="preserve">H AMD TO H AMD (H-2628.2/17)</w:t>
      </w:r>
      <w:r>
        <w:t xml:space="preserve"> </w:t>
      </w:r>
      <w:r>
        <w:rPr>
          <w:b/>
        </w:rPr>
        <w:t xml:space="preserve">490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Schmick</w:t>
      </w:r>
    </w:p>
    <w:p>
      <w:pPr>
        <w:jc w:val="right"/>
      </w:pPr>
      <w:r>
        <w:rPr>
          <w:b/>
        </w:rPr>
        <w:t xml:space="preserve">ADOPTED 04/12/2017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43, after line 20 of the amendment,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"(14) During the course of any planned resurfacing or other preservation activity on state route number 26 between Colfax and Othello in the 2017-2019 fiscal biennium, the department must add dug-in reflectors."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WSDOT to add dug-in reflectors on SR 26 between Colfax and Othello during the course of any planned resurfacing or other preservation activity.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IMPACT:</w:t>
      </w:r>
      <w:r>
        <w:rPr/>
        <w:t xml:space="preserve"> No net change to appropriated levels.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6365ab3cb42b9" /></Relationships>
</file>