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5312ababe424a5e" /></Relationships>
</file>

<file path=word/document.xml><?xml version="1.0" encoding="utf-8"?>
<w:document xmlns:w="http://schemas.openxmlformats.org/wordprocessingml/2006/main">
  <w:body>
    <w:p>
      <w:r>
        <w:rPr>
          <w:b/>
        </w:rPr>
        <w:r>
          <w:rPr/>
          <w:t xml:space="preserve">2906</w:t>
        </w:r>
      </w:r>
      <w:r>
        <w:rPr>
          <w:b/>
        </w:rPr>
        <w:t xml:space="preserve"> </w:t>
        <w:t xml:space="preserve">AMH</w:t>
      </w:r>
      <w:r>
        <w:rPr>
          <w:b/>
        </w:rPr>
        <w:t xml:space="preserve"> </w:t>
        <w:r>
          <w:rPr/>
          <w:t xml:space="preserve">MCDO</w:t>
        </w:r>
      </w:r>
      <w:r>
        <w:rPr>
          <w:b/>
        </w:rPr>
        <w:t xml:space="preserve"> </w:t>
        <w:r>
          <w:rPr/>
          <w:t xml:space="preserve">H4743.1</w:t>
        </w:r>
      </w:r>
      <w:r>
        <w:rPr>
          <w:b/>
        </w:rPr>
        <w:t xml:space="preserve"> - NOT FOR FLOOR USE</w:t>
      </w:r>
    </w:p>
    <w:p>
      <w:pPr>
        <w:ind w:left="0" w:right="0" w:firstLine="576"/>
      </w:pPr>
    </w:p>
    <w:p>
      <w:pPr>
        <w:spacing w:before="480" w:after="0" w:line="408" w:lineRule="exact"/>
      </w:pPr>
      <w:r>
        <w:rPr>
          <w:b/>
          <w:u w:val="single"/>
        </w:rPr>
        <w:t xml:space="preserve">HB 2906</w:t>
      </w:r>
      <w:r>
        <w:t xml:space="preserve"> -</w:t>
      </w:r>
      <w:r>
        <w:t xml:space="preserve"> </w:t>
        <w:t xml:space="preserve">H AMD</w:t>
      </w:r>
      <w:r>
        <w:t xml:space="preserve"> </w:t>
      </w:r>
      <w:r>
        <w:rPr>
          <w:b/>
        </w:rPr>
        <w:t xml:space="preserve">897</w:t>
      </w:r>
    </w:p>
    <w:p>
      <w:pPr>
        <w:spacing w:before="0" w:after="0" w:line="408" w:lineRule="exact"/>
        <w:ind w:left="0" w:right="0" w:firstLine="576"/>
        <w:jc w:val="left"/>
      </w:pPr>
      <w:r>
        <w:rPr/>
        <w:t xml:space="preserve">By Representative McDonald</w:t>
      </w:r>
    </w:p>
    <w:p>
      <w:pPr>
        <w:jc w:val="right"/>
      </w:pPr>
      <w:r>
        <w:rPr>
          <w:b/>
        </w:rPr>
        <w:t xml:space="preserve">ADOPTED 02/14/2018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2017 3rd sp.s. c 13 s 311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w:t>
      </w:r>
      <w:r>
        <w:rPr>
          <w:u w:val="single"/>
        </w:rPr>
        <w:t xml:space="preserve">the</w:t>
      </w:r>
      <w:r>
        <w:rPr/>
        <w:t xml:space="preserve"> exemption is reduced </w:t>
      </w:r>
      <w:r>
        <w:t>((</w:t>
      </w:r>
      <w:r>
        <w:rPr>
          <w:strike/>
        </w:rPr>
        <w:t xml:space="preserve">for two or more months of</w:t>
      </w:r>
      <w:r>
        <w:t>))</w:t>
      </w:r>
      <w:r>
        <w:rPr/>
        <w:t xml:space="preserve"> </w:t>
      </w:r>
      <w:r>
        <w:rPr>
          <w:u w:val="single"/>
        </w:rPr>
        <w:t xml:space="preserve">during</w:t>
      </w:r>
      <w:r>
        <w:rPr/>
        <w:t xml:space="preserve"> the assessment year by reason of the death of the person's spouse or the person's domestic partner, or </w:t>
      </w:r>
      <w:r>
        <w:t>((</w:t>
      </w:r>
      <w:r>
        <w:rPr>
          <w:strike/>
        </w:rPr>
        <w:t xml:space="preserve">when</w:t>
      </w:r>
      <w:r>
        <w:t>))</w:t>
      </w:r>
      <w:r>
        <w:rPr/>
        <w:t xml:space="preserve"> </w:t>
      </w:r>
      <w:r>
        <w:rPr>
          <w:u w:val="single"/>
        </w:rPr>
        <w:t xml:space="preserve">if</w:t>
      </w:r>
      <w:r>
        <w:rPr/>
        <w:t xml:space="preserve"> other substantial changes occur in disposable income </w:t>
      </w:r>
      <w:r>
        <w:rPr>
          <w:u w:val="single"/>
        </w:rPr>
        <w:t xml:space="preserve">for two or more months of the assessment year</w:t>
      </w:r>
      <w:r>
        <w:rPr/>
        <w:t xml:space="preserv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w:t>
      </w:r>
      <w:r>
        <w:rPr>
          <w:u w:val="single"/>
        </w:rPr>
        <w:t xml:space="preserve">st</w:t>
      </w:r>
      <w:r>
        <w:rPr/>
        <w:t xml:space="preserve"> of the year following application;</w:t>
      </w:r>
    </w:p>
    <w:p>
      <w:pPr>
        <w:spacing w:before="0" w:after="0" w:line="408" w:lineRule="exact"/>
        <w:ind w:left="0" w:right="0" w:firstLine="576"/>
        <w:jc w:val="left"/>
      </w:pPr>
      <w:r>
        <w:rPr/>
        <w:t xml:space="preserve">(5)(a) A person who otherwise qualifies under this section and has a combined disposable income of forty thousand dollars or less is exempt from all excess property taxes and the additional state property tax imposed under RCW 84.52.065(2); and</w:t>
      </w:r>
    </w:p>
    <w:p>
      <w:pPr>
        <w:spacing w:before="0" w:after="0" w:line="408" w:lineRule="exact"/>
        <w:ind w:left="0" w:right="0" w:firstLine="576"/>
        <w:jc w:val="left"/>
      </w:pPr>
      <w:r>
        <w:rPr/>
        <w:t xml:space="preserve">(b)(i) A person who otherwise qualifies under this section and has a combined disposable income of thirty-five thousand dollars or less but greater than thirty thousand dollars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of thirty thousand dollars or less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of forty thousand dollars or less,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2019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tax preference in this act to be permanent; therefore, this act is not subject to the provisions of RCW 82.32.805 and 82.32.808."</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Applies the expanded eligibility to taxes levied for collection beginning in 2019. Modifies the application and refund provisions. Provides an exemption from the tax preference performance statement and 10-year expiration requirements for new tax preferences.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1261118764466b" /></Relationships>
</file>