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40085dc149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2444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SLAT</w:t>
        </w:r>
      </w:r>
      <w:r>
        <w:rPr>
          <w:b/>
        </w:rPr>
        <w:t xml:space="preserve"> </w:t>
        <w:r>
          <w:rPr/>
          <w:t xml:space="preserve">H4608.1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2444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Slatter</w:t>
      </w:r>
    </w:p>
    <w:p>
      <w:pPr>
        <w:jc w:val="right"/>
      </w:pPr>
      <w:r>
        <w:rPr>
          <w:b/>
        </w:rPr>
        <w:t xml:space="preserve">ADOPTED 02/13/2018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12, after "</w:t>
      </w:r>
      <w:r>
        <w:rPr>
          <w:u w:val="single"/>
        </w:rPr>
        <w:t xml:space="preserve">seller</w:t>
      </w:r>
      <w:r>
        <w:rPr/>
        <w:t xml:space="preserve">" insert "</w:t>
      </w:r>
      <w:r>
        <w:rPr>
          <w:u w:val="single"/>
        </w:rPr>
        <w:t xml:space="preserve">or, in the case of a transfer of a controlling interest, the owner or beneficial owner,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transfer of controlling interest in a qualifying low-income housing development is eligible for the real estate excise tax exemption provided in this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338d2d8145d0" /></Relationships>
</file>