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efeb62e6847a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2338-S2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GRAV</w:t>
        </w:r>
      </w:r>
      <w:r>
        <w:rPr>
          <w:b/>
        </w:rPr>
        <w:t xml:space="preserve"> </w:t>
        <w:r>
          <w:rPr/>
          <w:t xml:space="preserve">H4766.1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2338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934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Graves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20, after "(k)" insert "Mechanisms allowing a person associated with the operation of the following types of vehicles to earn credits under the program, whereby each gallon of diesel or gasoline consumed by a vehicle is attributed zero lifecycle greenhouse gas emissions: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vehicle used to provide private employer transportation services, as that term is defined in RCW 47.04.290;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 vehicle used to provide a prearranged ride organized by a commercial transportation services provider, as defined in RCW 48.177.005;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Vehicles operated by taxicab companies regulated under chapter 81.72 RCW;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Vehicles used by private, nonprofit transportation providers as defined in RCW 81.66.010;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(l)"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Ecology's clean fuels program rules to provide a mechanism allowing credits to be earned, by attributing zero lifecycle greenhouse gas emissions to each gallon of gasoline or diesel used, by persons associated with the following types of vehicles: Employer shuttles, taxicabs, vehicles used in conjunction with prearranged ride software applications, and vehicles used to transport persons with special needs.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b147035e3496d" /></Relationships>
</file>