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0fe40fd19e34af4" /></Relationships>
</file>

<file path=word/document.xml><?xml version="1.0" encoding="utf-8"?>
<w:document xmlns:w="http://schemas.openxmlformats.org/wordprocessingml/2006/main">
  <w:body>
    <w:p>
      <w:r>
        <w:rPr>
          <w:b/>
        </w:rPr>
        <w:r>
          <w:rPr/>
          <w:t xml:space="preserve">1800-S</w:t>
        </w:r>
      </w:r>
      <w:r>
        <w:rPr>
          <w:b/>
        </w:rPr>
        <w:t xml:space="preserve"> </w:t>
        <w:t xml:space="preserve">AMH</w:t>
      </w:r>
      <w:r>
        <w:rPr>
          <w:b/>
        </w:rPr>
        <w:t xml:space="preserve"> </w:t>
        <w:r>
          <w:rPr/>
          <w:t xml:space="preserve">YOUN</w:t>
        </w:r>
      </w:r>
      <w:r>
        <w:rPr>
          <w:b/>
        </w:rPr>
        <w:t xml:space="preserve"> </w:t>
        <w:r>
          <w:rPr/>
          <w:t xml:space="preserve">H4334.1</w:t>
        </w:r>
      </w:r>
      <w:r>
        <w:rPr>
          <w:b/>
        </w:rPr>
        <w:t xml:space="preserve"> - NOT FOR FLOOR USE</w:t>
      </w:r>
    </w:p>
    <w:p>
      <w:pPr>
        <w:ind w:left="0" w:right="0" w:firstLine="576"/>
      </w:pPr>
    </w:p>
    <w:p>
      <w:pPr>
        <w:spacing w:before="480" w:after="0" w:line="408" w:lineRule="exact"/>
      </w:pPr>
      <w:r>
        <w:rPr>
          <w:b/>
          <w:u w:val="single"/>
        </w:rPr>
        <w:t xml:space="preserve">SHB 1800</w:t>
      </w:r>
      <w:r>
        <w:t xml:space="preserve"> -</w:t>
      </w:r>
      <w:r>
        <w:t xml:space="preserve"> </w:t>
        <w:t xml:space="preserve">H AMD</w:t>
      </w:r>
      <w:r>
        <w:t xml:space="preserve"> </w:t>
      </w:r>
      <w:r>
        <w:rPr>
          <w:b/>
        </w:rPr>
        <w:t xml:space="preserve">1023</w:t>
      </w:r>
    </w:p>
    <w:p>
      <w:pPr>
        <w:spacing w:before="0" w:after="0" w:line="408" w:lineRule="exact"/>
        <w:ind w:left="0" w:right="0" w:firstLine="576"/>
        <w:jc w:val="left"/>
      </w:pPr>
      <w:r>
        <w:rPr/>
        <w:t xml:space="preserve">By Representative Young</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 - 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Washington voting rights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government subdivisions are often prohibited from addressing these challenges because of Washington laws that narrowly prescribe the methods by which they may elect members of their legislative bodies. The legislature intends to modify existing prohibitions in state laws so that these jurisdictions may voluntarily adopt changes on their own, in collaboration with affected community members, to remedy potential electoral issues.</w:t>
      </w:r>
    </w:p>
    <w:p>
      <w:pPr>
        <w:spacing w:before="0" w:after="0" w:line="408" w:lineRule="exact"/>
        <w:ind w:left="0" w:right="0" w:firstLine="576"/>
        <w:jc w:val="left"/>
      </w:pPr>
      <w:r>
        <w:rPr/>
        <w:t xml:space="preserve">The legislature also intends for this act to be consistent with legal precedent from </w:t>
      </w:r>
      <w:r>
        <w:rPr>
          <w:i/>
        </w:rPr>
        <w:t xml:space="preserve">Mt. Spokane Skiing Corp. v. Spokane Co.</w:t>
      </w:r>
      <w:r>
        <w:rPr/>
        <w:t xml:space="preserve"> (86 Wn. App. 165, 1997) that found that noncharter counties need not adhere to a single uniform county system of government, but that each county have the same "authority available" in order to be deemed uniform.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at-large with district-based elections.</w:t>
      </w:r>
    </w:p>
    <w:p>
      <w:pPr>
        <w:spacing w:before="0" w:after="0" w:line="408" w:lineRule="exact"/>
        <w:ind w:left="0" w:right="0" w:firstLine="576"/>
        <w:jc w:val="left"/>
      </w:pPr>
      <w:r>
        <w:rPr/>
        <w:t xml:space="preserve">(2)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(3) "Polarized voting" means voting in which there is a difference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(4)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rPr/>
        <w:t xml:space="preserve">(5) "Protected class" means a class of voters who are members of a race, color, or language minority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provided in section 302 of this act, no method of electing the governing body of a political subdivision may be imposed or applied in a manner that favors or disfavors any racial group or political party.</w:t>
      </w:r>
    </w:p>
    <w:p>
      <w:pPr>
        <w:spacing w:before="240" w:after="0" w:line="408" w:lineRule="exact"/>
        <w:ind w:left="0" w:right="0" w:firstLine="576"/>
        <w:jc w:val="center"/>
      </w:pPr>
      <w:r>
        <w:rPr>
          <w:b/>
        </w:rPr>
        <w:t xml:space="preserve">PART II - VOLUNTARY CHANGES TO ELECTORAL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to remedy a potential violation of section 104 of this act.</w:t>
      </w:r>
    </w:p>
    <w:p>
      <w:pPr>
        <w:spacing w:before="0" w:after="0" w:line="408" w:lineRule="exact"/>
        <w:ind w:left="0" w:right="0" w:firstLine="576"/>
        <w:jc w:val="left"/>
      </w:pPr>
      <w:r>
        <w:rPr/>
        <w:t xml:space="preserve">(2) If a political subdivision invokes its authority under this section to implement a district-based election system, the districts shall be drawn in a manner consistent with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the adoption of its proposed plan, the political subdivision shall provide full and reasonable public notice of its actions. The political subdivision shall hold at least one public hearing on the proposed plan at least one week before adoption.</w:t>
      </w:r>
    </w:p>
    <w:p>
      <w:pPr>
        <w:spacing w:before="0" w:after="0" w:line="408" w:lineRule="exact"/>
        <w:ind w:left="0" w:right="0" w:firstLine="576"/>
        <w:jc w:val="left"/>
      </w:pPr>
      <w:r>
        <w:rPr/>
        <w:t xml:space="preserve">(a) Political subdivisions shall provide such notices and information in the languages of any community or area where a significant segment of the community speaks a language other than English and has limited proficiency in English.</w:t>
      </w:r>
    </w:p>
    <w:p>
      <w:pPr>
        <w:spacing w:before="0" w:after="0" w:line="408" w:lineRule="exact"/>
        <w:ind w:left="0" w:right="0" w:firstLine="576"/>
        <w:jc w:val="left"/>
      </w:pPr>
      <w:r>
        <w:rPr/>
        <w:t xml:space="preserve">(b) Political subdivisions must provide accurate written and verbal notices in the languages represented by their communities who speak a language other than English. Political subdivisions must air public service announcements by radio or television broadcast in the languages represented by their communities who speak a language other than English.</w:t>
      </w:r>
    </w:p>
    <w:p>
      <w:pPr>
        <w:spacing w:before="0" w:after="0" w:line="408" w:lineRule="exact"/>
        <w:ind w:left="0" w:right="0" w:firstLine="576"/>
        <w:jc w:val="left"/>
      </w:pPr>
      <w:r>
        <w:rPr/>
        <w:t xml:space="preserve">(c) "Significant segment," for purposes of this section, means five percent or more of residents, or five hundred residents, whichever is fewer, residing in the affected political subdivision who are of limited English proficiency.</w:t>
      </w:r>
    </w:p>
    <w:p>
      <w:pPr>
        <w:spacing w:before="0" w:after="0" w:line="408" w:lineRule="exact"/>
        <w:ind w:left="0" w:right="0" w:firstLine="576"/>
        <w:jc w:val="left"/>
      </w:pPr>
      <w:r>
        <w:rPr/>
        <w:t xml:space="preserve">(2)(a)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(3)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(4)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403 of this act.</w:t>
      </w:r>
    </w:p>
    <w:p>
      <w:pPr>
        <w:spacing w:before="0" w:after="0" w:line="408" w:lineRule="exact"/>
        <w:ind w:left="0" w:right="0" w:firstLine="576"/>
        <w:jc w:val="left"/>
      </w:pPr>
      <w:r>
        <w:rPr/>
        <w:t xml:space="preserve">(5)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403 of this act, shall prepare a plan for redistricting its districts, pursuant to RCW 29A.76.010, and in a manner consistent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343</w:t>
      </w:r>
      <w:r>
        <w:rPr/>
        <w:t xml:space="preserve"> RCW</w:t>
      </w:r>
      <w:r>
        <w:rPr/>
        <w:t xml:space="preserve"> to read as follows:</w:t>
      </w:r>
    </w:p>
    <w:p>
      <w:pPr>
        <w:spacing w:before="0" w:after="0" w:line="408" w:lineRule="exact"/>
        <w:ind w:left="0" w:right="0" w:firstLine="576"/>
        <w:jc w:val="left"/>
      </w:pPr>
      <w:r>
        <w:rPr/>
        <w:t xml:space="preserve">The school board of directors may authorize a change to its electoral system pursuant to section 201 of this act. Any staggering of directors' terms shall be accomplished as provided in RCW 28A.343.030 and 28A.343.600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The commissioners of any county may authorize a change to their electoral system pursuant to section 201 of this act. Except where necessary to comply with a court order issued pursuant to section 403 of this act, t</w:t>
      </w:r>
      <w:r>
        <w:rPr/>
        <w:t xml:space="preserve">he lines of the districts shall not be changed </w:t>
      </w:r>
      <w:r>
        <w:t>((</w:t>
      </w:r>
      <w:r>
        <w:rPr>
          <w:strike/>
        </w:rPr>
        <w:t xml:space="preserve">oftener</w:t>
      </w:r>
      <w:r>
        <w:t>))</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1982 c 226 s 5 are each amended to read as follows:</w:t>
      </w:r>
    </w:p>
    <w:p>
      <w:pPr>
        <w:spacing w:before="0" w:after="0" w:line="408" w:lineRule="exact"/>
        <w:ind w:left="0" w:right="0" w:firstLine="576"/>
        <w:jc w:val="left"/>
      </w:pPr>
      <w:r>
        <w:rPr/>
        <w:t xml:space="preserve">(1) Except as provided in subsection (2)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u w:val="single"/>
        </w:rPr>
        <w:t xml:space="preserve">(3) The commissioners of any county may authorize a change to their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port commission may authorize a change to its electoral system pursuant to section 201 of this act.</w:t>
      </w:r>
    </w:p>
    <w:p>
      <w:pPr>
        <w:spacing w:before="240" w:after="0" w:line="408" w:lineRule="exact"/>
        <w:ind w:left="0" w:right="0" w:firstLine="576"/>
        <w:jc w:val="center"/>
      </w:pPr>
      <w:r>
        <w:rPr>
          <w:b/>
        </w:rPr>
        <w:t xml:space="preserve">PART III - CITIZEN-INITIATED CHANGES TO ELECTORAL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A person who intends to challenge a political subdivision's electoral system under this act shall first notify the political subdivision in writing. The political subdivision shall promptly make such notice public.</w:t>
      </w:r>
    </w:p>
    <w:p>
      <w:pPr>
        <w:spacing w:before="0" w:after="0" w:line="408" w:lineRule="exact"/>
        <w:ind w:left="0" w:right="0" w:firstLine="576"/>
        <w:jc w:val="left"/>
      </w:pPr>
      <w:r>
        <w:rPr/>
        <w:t xml:space="preserve">(2) The notice provided shall identify and provide contact information for the person or persons who intend to file an action, and shall identify the protected class or classes whose members do not have an equal opportunity to participate in elections. The notice shall also include a type of remedy the person believes may address the alleged violation of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is in violation of this act when:</w:t>
      </w:r>
    </w:p>
    <w:p>
      <w:pPr>
        <w:spacing w:before="0" w:after="0" w:line="408" w:lineRule="exact"/>
        <w:ind w:left="0" w:right="0" w:firstLine="576"/>
        <w:jc w:val="left"/>
      </w:pPr>
      <w:r>
        <w:rPr/>
        <w:t xml:space="preserve">(a) It is established by prima facie evidence that:</w:t>
      </w:r>
    </w:p>
    <w:p>
      <w:pPr>
        <w:spacing w:before="0" w:after="0" w:line="408" w:lineRule="exact"/>
        <w:ind w:left="0" w:right="0" w:firstLine="576"/>
        <w:jc w:val="left"/>
      </w:pPr>
      <w:r>
        <w:rPr/>
        <w:t xml:space="preserve">(i) The protected class is sufficiently large and geographically compact enough to constitute a majority in a single member voting district;</w:t>
      </w:r>
    </w:p>
    <w:p>
      <w:pPr>
        <w:spacing w:before="0" w:after="0" w:line="408" w:lineRule="exact"/>
        <w:ind w:left="0" w:right="0" w:firstLine="576"/>
        <w:jc w:val="left"/>
      </w:pPr>
      <w:r>
        <w:rPr/>
        <w:t xml:space="preserve">(ii) The protected class is politically cohesive; and</w:t>
      </w:r>
    </w:p>
    <w:p>
      <w:pPr>
        <w:spacing w:before="0" w:after="0" w:line="408" w:lineRule="exact"/>
        <w:ind w:left="0" w:right="0" w:firstLine="576"/>
        <w:jc w:val="left"/>
      </w:pPr>
      <w:r>
        <w:rPr/>
        <w:t xml:space="preserve">(iii) The majority votes sufficiently as a bloc to enable it to defeat the protected class' preferred candidate; and</w:t>
      </w:r>
    </w:p>
    <w:p>
      <w:pPr>
        <w:spacing w:before="0" w:after="0" w:line="408" w:lineRule="exact"/>
        <w:ind w:left="0" w:right="0" w:firstLine="576"/>
        <w:jc w:val="left"/>
      </w:pPr>
      <w:r>
        <w:rPr/>
        <w:t xml:space="preserve">(b) It is established that, by the totality of circumstances, the voters of the protected class have less opportunity than members of the majority group to participate in the political process and to elect representatives of their choice.</w:t>
      </w:r>
    </w:p>
    <w:p>
      <w:pPr>
        <w:spacing w:before="0" w:after="0" w:line="408" w:lineRule="exact"/>
        <w:ind w:left="0" w:right="0" w:firstLine="576"/>
        <w:jc w:val="left"/>
      </w:pPr>
      <w:r>
        <w:rPr/>
        <w:t xml:space="preserve">(2) In determining whether there is a violation of this act, the court shall analyze elections of the governing body of the political subdivision in which at least one candidate is a member of a protected class, and other electoral choices that affect the rights and privileges of members of a protected class. Only elections conducted prior to the filing of an action pursuant to this chapter shall be used to establish or rebut the existence of a violation. In determining whether, by the totality of the circumstances, the voters of the protected class have less opportunity than members of the majority group to participate in the political process and to elect representatives of their choice, the court shall consider, at a minimum, the following factors:</w:t>
      </w:r>
    </w:p>
    <w:p>
      <w:pPr>
        <w:spacing w:before="0" w:after="0" w:line="408" w:lineRule="exact"/>
        <w:ind w:left="0" w:right="0" w:firstLine="576"/>
        <w:jc w:val="left"/>
      </w:pPr>
      <w:r>
        <w:rPr/>
        <w:t xml:space="preserve">(a) The history of voter-related discrimination in the political subdivision;</w:t>
      </w:r>
    </w:p>
    <w:p>
      <w:pPr>
        <w:spacing w:before="0" w:after="0" w:line="408" w:lineRule="exact"/>
        <w:ind w:left="0" w:right="0" w:firstLine="576"/>
        <w:jc w:val="left"/>
      </w:pPr>
      <w:r>
        <w:rPr/>
        <w:t xml:space="preserve">(b) The extent to which voting in elections of the political subdivision is racially polarized;</w:t>
      </w:r>
    </w:p>
    <w:p>
      <w:pPr>
        <w:spacing w:before="0" w:after="0" w:line="408" w:lineRule="exact"/>
        <w:ind w:left="0" w:right="0" w:firstLine="576"/>
        <w:jc w:val="left"/>
      </w:pPr>
      <w:r>
        <w:rPr/>
        <w:t xml:space="preserve">(c) The extent to which the political subdivision has used voting practices or procedures that tend to enhance the opportunity for discrimination against the minority group, such as unusually large election districts, majority voting requirements, and prohibitions against bullet voting;</w:t>
      </w:r>
    </w:p>
    <w:p>
      <w:pPr>
        <w:spacing w:before="0" w:after="0" w:line="408" w:lineRule="exact"/>
        <w:ind w:left="0" w:right="0" w:firstLine="576"/>
        <w:jc w:val="left"/>
      </w:pPr>
      <w:r>
        <w:rPr/>
        <w:t xml:space="preserve">(d) The exclusion of members of the protected class from the candidate slating process;</w:t>
      </w:r>
    </w:p>
    <w:p>
      <w:pPr>
        <w:spacing w:before="0" w:after="0" w:line="408" w:lineRule="exact"/>
        <w:ind w:left="0" w:right="0" w:firstLine="576"/>
        <w:jc w:val="left"/>
      </w:pPr>
      <w:r>
        <w:rPr/>
        <w:t xml:space="preserve">(e) The extent to which protected class members bear the effects of past discrimination in areas such as education, employment, and health, which hinder their ability to participate effectively in the political process;</w:t>
      </w:r>
    </w:p>
    <w:p>
      <w:pPr>
        <w:spacing w:before="0" w:after="0" w:line="408" w:lineRule="exact"/>
        <w:ind w:left="0" w:right="0" w:firstLine="576"/>
        <w:jc w:val="left"/>
      </w:pPr>
      <w:r>
        <w:rPr/>
        <w:t xml:space="preserve">(f) The use of overt or subtle racial appeals in political campaigns;</w:t>
      </w:r>
    </w:p>
    <w:p>
      <w:pPr>
        <w:spacing w:before="0" w:after="0" w:line="408" w:lineRule="exact"/>
        <w:ind w:left="0" w:right="0" w:firstLine="576"/>
        <w:jc w:val="left"/>
      </w:pPr>
      <w:r>
        <w:rPr/>
        <w:t xml:space="preserve">(g) The extent to which members of the protected class have been elected to public office in the political subdivision; and</w:t>
      </w:r>
    </w:p>
    <w:p>
      <w:pPr>
        <w:spacing w:before="0" w:after="0" w:line="408" w:lineRule="exact"/>
        <w:ind w:left="0" w:right="0" w:firstLine="576"/>
        <w:jc w:val="left"/>
      </w:pPr>
      <w:r>
        <w:rPr/>
        <w:t xml:space="preserve">(h) Whether there is a significant lack of responsiveness on the part of elected officials to the particularized needs of the members of the protected class.</w:t>
      </w:r>
    </w:p>
    <w:p>
      <w:pPr>
        <w:spacing w:before="0" w:after="0" w:line="408" w:lineRule="exact"/>
        <w:ind w:left="0" w:right="0" w:firstLine="576"/>
        <w:jc w:val="left"/>
      </w:pPr>
      <w:r>
        <w:rPr/>
        <w:t xml:space="preserve">(3) In determining whether there is a violation of this act,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The court shall also consider whether the proportion of elected officials serving on the political subdivision's legislative body who are members of the protected class is equivalent to the proportion of the population who are members of the protected class. Only elections conducted prior to the filing of an action pursuant to this chapter shall be used to establish or rebut the existence of a violation.</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chapter shall not preclude a finding of a violation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political subdivision shall work in good faith with the person providing the notice to implement a remedy that provides the protected class or classes identified in the notice an equal opportunity to participate in elections.</w:t>
      </w:r>
    </w:p>
    <w:p>
      <w:pPr>
        <w:spacing w:before="0" w:after="0" w:line="408" w:lineRule="exact"/>
        <w:ind w:left="0" w:right="0" w:firstLine="576"/>
        <w:jc w:val="left"/>
      </w:pPr>
      <w:r>
        <w:rPr/>
        <w:t xml:space="preserve">(2) If the political subdivision adopts a remedy after receiving notice, the political subdivision shall seek a court order acknowledging that the political subdivision's remedy complies with section 104 of this act, and shall notify the person who submitted the notice about the attempt to obtain a court order.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w:t>
      </w:r>
    </w:p>
    <w:p>
      <w:pPr>
        <w:spacing w:before="0" w:after="0" w:line="408" w:lineRule="exact"/>
        <w:ind w:left="0" w:right="0" w:firstLine="576"/>
        <w:jc w:val="left"/>
      </w:pPr>
      <w:r>
        <w:rPr/>
        <w:t xml:space="preserve">(3) If the court concludes that the political subdivision's remedy complies with section 104 of this act, an action under this act may not be brought against that political subdivision for four years by any party so long as the political subdivision does not enact a change to or deviation from the remedy during this four-year period.</w:t>
      </w:r>
    </w:p>
    <w:p>
      <w:pPr>
        <w:spacing w:before="0" w:after="0" w:line="408" w:lineRule="exact"/>
        <w:ind w:left="0" w:right="0" w:firstLine="576"/>
        <w:jc w:val="left"/>
      </w:pPr>
      <w:r>
        <w:rPr/>
        <w:t xml:space="preserve">(4) In agreeing to adopt the person's proposed remedy, the political subdivision may do so by stipulation, which shall become a public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may file an action under this act if, one hundred eighty days after a political subdivision receives notice of a challenge to its electoral system under section 301 of this act, the political subdivision has not obtained a court order stating that it has adopted a remedy in compliance with section 104 of this act.</w:t>
      </w:r>
    </w:p>
    <w:p>
      <w:pPr>
        <w:spacing w:before="0" w:after="0" w:line="408" w:lineRule="exact"/>
        <w:ind w:left="0" w:right="0" w:firstLine="576"/>
        <w:jc w:val="left"/>
      </w:pPr>
      <w:r>
        <w:rPr/>
        <w:t xml:space="preserve">(2) If, within one hundred eighty days after receiving the person's notice, a political subdivision receives any other notice containing a materially different proposed remedy than the first notice, no action may be filed under this act within two hundred seventy days after receiving the initial notice.</w:t>
      </w:r>
    </w:p>
    <w:p>
      <w:pPr>
        <w:spacing w:before="0" w:after="0" w:line="408" w:lineRule="exact"/>
        <w:ind w:left="0" w:right="0" w:firstLine="576"/>
        <w:jc w:val="left"/>
      </w:pPr>
      <w:r>
        <w:rPr/>
        <w:t xml:space="preserve">(3)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participate in elections. If the political subdivision adopts one of the remedies offered, or a different remedy that takes multiple notices into account, the political subdivision shall seek a court order acknowledging that the political subdivision's remedy complies with section 104 of this act. The persons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w:t>
      </w:r>
    </w:p>
    <w:p>
      <w:pPr>
        <w:spacing w:before="0" w:after="0" w:line="408" w:lineRule="exact"/>
        <w:ind w:left="0" w:right="0" w:firstLine="576"/>
        <w:jc w:val="left"/>
      </w:pPr>
      <w:r>
        <w:rPr/>
        <w:t xml:space="preserve">(4) If the court concludes that the political subdivision's remedy complies with section 104 of this act, an action under this act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240" w:after="0" w:line="408" w:lineRule="exact"/>
        <w:ind w:left="0" w:right="0" w:firstLine="576"/>
        <w:jc w:val="center"/>
      </w:pPr>
      <w:r>
        <w:rPr>
          <w:b/>
        </w:rPr>
        <w:t xml:space="preserve">PART IV - SAFE HARBOR AND LEGAL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After exhaustion of the time period in section 304 of this act, any voter who resides in a political subdivision where a violation of section 104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Members of different protected classes are encouraged to file an action jointly pursuant to this act if they demonstrate that their combined voting preferences as a group are different from the rest of the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 action filed pursuant to this act,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(2) The plaintiff's constitutional right to the secrecy of the plaintiff's vote is preserved and is not waived by the filing of an action pursuant to this act.</w:t>
      </w:r>
    </w:p>
    <w:p>
      <w:pPr>
        <w:spacing w:before="0" w:after="0" w:line="408" w:lineRule="exact"/>
        <w:ind w:left="0" w:right="0" w:firstLine="576"/>
        <w:jc w:val="left"/>
      </w:pPr>
      <w:r>
        <w:rPr/>
        <w:t xml:space="preserve">(3) No notice may be submitted to any political subdivision pursuant to this act before July 19,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may order appropriate remedies including, but not limited to, the imposition of a district-based election. The court may order the affected jurisdiction to draw or redraw district boundaries. The proposed districts must be approved by the court prior to their implementation.</w:t>
      </w:r>
    </w:p>
    <w:p>
      <w:pPr>
        <w:spacing w:before="0" w:after="0" w:line="408" w:lineRule="exact"/>
        <w:ind w:left="0" w:right="0" w:firstLine="576"/>
        <w:jc w:val="left"/>
      </w:pPr>
      <w:r>
        <w:rPr/>
        <w:t xml:space="preserve">(2) In tailoring a remedy after a finding of a violation of section 104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action under this act may be brought by any person against a political subdivision that has adopted a remedy to its electoral system after an action is filed that is approved by a court pursuant to section 303 of this act or implemented a court-ordered remedy pursuant to section 403 of this act for four years after adoption of the remedy if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(2) No action under this act may be brought by any person against a political subdivision that has adopted a remedy to its electoral system in the previous decade before the effective date of this section as a result of a claim under the federal voting rights act until after the political subdivision completes redistricting pursuant to RCW 29A.76.010 for the 2020 decennial census.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any action to enforce this chapter, the court may allow the prevailing party reasonable attorneys' fees, all nonattorney fee costs as defined by RCW 4.84.010, and all reasonable expert witness fees. No fees or costs may be awarded if no action is filed.</w:t>
      </w:r>
    </w:p>
    <w:p>
      <w:pPr>
        <w:spacing w:before="240" w:after="0" w:line="408" w:lineRule="exact"/>
        <w:ind w:left="0" w:right="0" w:firstLine="576"/>
        <w:jc w:val="center"/>
      </w:pPr>
      <w:r>
        <w:rPr>
          <w:b/>
        </w:rPr>
        <w:t xml:space="preserve">PART V -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provisions of parts I, III, and IV of this act are not applicable to cities and towns with populations under two thousand or to school districts with K-12 full-time equivalent enrollments of less than five hundred.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entire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202 and 301 through 501 of this act constitute a new chapter in </w:t>
      </w:r>
      <w:r>
        <w:rPr/>
        <w:t xml:space="preserve">Title </w:t>
      </w:r>
      <w:r>
        <w:t xml:space="preserve">29A</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references to federal law.</w:t>
      </w:r>
    </w:p>
    <w:p>
      <w:pPr>
        <w:spacing w:before="0" w:after="0" w:line="408" w:lineRule="exact"/>
        <w:ind w:left="0" w:right="0" w:firstLine="576"/>
        <w:jc w:val="left"/>
      </w:pPr>
      <w:r>
        <w:rPr/>
        <w:t xml:space="preserve">(2) Removes provision that proof of intent to discriminate is not required to find a violation.</w:t>
      </w:r>
    </w:p>
    <w:p>
      <w:pPr>
        <w:spacing w:before="0" w:after="0" w:line="408" w:lineRule="exact"/>
        <w:ind w:left="0" w:right="0" w:firstLine="576"/>
        <w:jc w:val="left"/>
      </w:pPr>
      <w:r>
        <w:rPr/>
        <w:t xml:space="preserve">(3) Removes rebuttable presumption and inferences against a subdivision where a remedy is submitted for court approval.</w:t>
      </w:r>
    </w:p>
    <w:p>
      <w:pPr>
        <w:spacing w:before="0" w:after="0" w:line="408" w:lineRule="exact"/>
        <w:ind w:left="0" w:right="0" w:firstLine="576"/>
        <w:jc w:val="left"/>
      </w:pPr>
      <w:r>
        <w:rPr/>
        <w:t xml:space="preserve">(4) Changes standard of a violation to prohibit election methods that favor or disfavor a racial group or political party.</w:t>
      </w:r>
    </w:p>
    <w:p>
      <w:pPr>
        <w:spacing w:before="0" w:after="0" w:line="408" w:lineRule="exact"/>
        <w:ind w:left="0" w:right="0" w:firstLine="576"/>
        <w:jc w:val="left"/>
      </w:pPr>
      <w:r>
        <w:rPr/>
        <w:t xml:space="preserve">(5) Removes reference to certain factors used to determine a violation, including consideration of ballot measures, elections that included protected class members, and list of factors related to historical treatment of protected classes.</w:t>
      </w:r>
    </w:p>
    <w:p>
      <w:pPr>
        <w:spacing w:before="0" w:after="0" w:line="408" w:lineRule="exact"/>
        <w:ind w:left="0" w:right="0" w:firstLine="576"/>
        <w:jc w:val="left"/>
      </w:pPr>
      <w:r>
        <w:rPr/>
        <w:t xml:space="preserve">(6) Removes the reduced notice period that begins in 2021. Removes the statute of limitations.</w:t>
      </w:r>
    </w:p>
    <w:p>
      <w:pPr>
        <w:spacing w:before="0" w:after="0" w:line="408" w:lineRule="exact"/>
        <w:ind w:left="0" w:right="0" w:firstLine="576"/>
        <w:jc w:val="left"/>
      </w:pPr>
      <w:r>
        <w:rPr/>
        <w:t xml:space="preserve">(7) Removes direction to a court that consideration of a district-based election system is not precluded if the protected class does not constitute a majority within a proposed district.</w:t>
      </w:r>
    </w:p>
    <w:p>
      <w:pPr>
        <w:spacing w:before="0" w:after="0" w:line="408" w:lineRule="exact"/>
        <w:ind w:left="0" w:right="0" w:firstLine="576"/>
        <w:jc w:val="left"/>
      </w:pPr>
      <w:r>
        <w:rPr/>
        <w:t xml:space="preserve">(8) Increases the population thresholds for exempting cities and towns from one thousand to two thousand people.</w:t>
      </w:r>
    </w:p>
    <w:p>
      <w:pPr>
        <w:spacing w:before="0" w:after="0" w:line="408" w:lineRule="exact"/>
        <w:ind w:left="0" w:right="0" w:firstLine="576"/>
        <w:jc w:val="left"/>
      </w:pPr>
      <w:r>
        <w:rPr/>
        <w:t xml:space="preserve">(9) Increases the student threshold for exempting school districts from two hundred fifty to five hundred students.</w:t>
      </w:r>
    </w:p>
    <w:p>
      <w:pPr>
        <w:spacing w:before="0" w:after="0" w:line="408" w:lineRule="exact"/>
        <w:ind w:left="0" w:right="0" w:firstLine="576"/>
        <w:jc w:val="left"/>
      </w:pPr>
      <w:r>
        <w:rPr/>
        <w:t xml:space="preserve">(10) Removes reference to the act in other specific statutory sections dealing with local elections, regarding counties, cities, and school, fire, port, and public utility districts.</w:t>
      </w:r>
    </w:p>
    <w:p>
      <w:pPr>
        <w:spacing w:before="0" w:after="0" w:line="408" w:lineRule="exact"/>
        <w:ind w:left="0" w:right="0" w:firstLine="576"/>
        <w:jc w:val="left"/>
      </w:pPr>
      <w:r>
        <w:rPr/>
        <w:t xml:space="preserve">(11) Removes provision that the act supersedes other state laws that would restrict compliance with the act.</w:t>
      </w:r>
    </w:p>
    <w:p>
      <w:pPr>
        <w:spacing w:before="0" w:after="0" w:line="408" w:lineRule="exact"/>
        <w:ind w:left="0" w:right="0" w:firstLine="576"/>
        <w:jc w:val="left"/>
      </w:pPr>
      <w:r>
        <w:rPr/>
        <w:t xml:space="preserve">(12) Changes the null and void clause to provide that the entire act is null and void if any provision is held to be invalid.</w:t>
      </w:r>
    </w:p>
    <w:p>
      <w:pPr>
        <w:spacing w:before="0" w:after="0" w:line="408" w:lineRule="exact"/>
        <w:ind w:left="0" w:right="0" w:firstLine="576"/>
        <w:jc w:val="left"/>
      </w:pPr>
      <w:r>
        <w:rPr/>
        <w:t xml:space="preserve">(13) Requires a violation to show the protected class: (a) Is large and compact enough to be a majority in a district;(b) is politically cohesive; and (c) prefers candidates that are defeated by a majority voting bloc.</w:t>
      </w:r>
    </w:p>
    <w:p>
      <w:pPr>
        <w:spacing w:before="0" w:after="0" w:line="408" w:lineRule="exact"/>
        <w:ind w:left="0" w:right="0" w:firstLine="576"/>
        <w:jc w:val="left"/>
      </w:pPr>
      <w:r>
        <w:rPr/>
        <w:t xml:space="preserve">(14) Requires courts to analyze elections with at least one candidate who is a member of a protected class and limits consideration to elections prior to filing court action.</w:t>
      </w:r>
    </w:p>
    <w:p>
      <w:pPr>
        <w:spacing w:before="0" w:after="0" w:line="408" w:lineRule="exact"/>
        <w:ind w:left="0" w:right="0" w:firstLine="576"/>
        <w:jc w:val="left"/>
      </w:pPr>
      <w:r>
        <w:rPr/>
        <w:t xml:space="preserve">(15) Provides consideration of factors by a totality of circumstances standard.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b81f0303884313" /></Relationships>
</file>